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_GBK" w:hAnsi="方正小标宋_GBK" w:eastAsia="方正小标宋_GBK"/>
          <w:b w:val="0"/>
          <w:bCs w:val="0"/>
          <w:sz w:val="30"/>
        </w:rPr>
      </w:pPr>
      <w:bookmarkStart w:id="0" w:name="_Toc3341"/>
      <w:r>
        <w:rPr>
          <w:rFonts w:hint="eastAsia" w:ascii="方正小标宋_GBK" w:hAnsi="方正小标宋_GBK" w:eastAsia="方正小标宋_GBK"/>
          <w:b w:val="0"/>
          <w:bCs w:val="0"/>
          <w:sz w:val="30"/>
          <w:lang w:eastAsia="zh-CN"/>
        </w:rPr>
        <w:t>融安县司法局</w:t>
      </w:r>
      <w:bookmarkStart w:id="1" w:name="_GoBack"/>
      <w:bookmarkEnd w:id="1"/>
      <w:r>
        <w:rPr>
          <w:rFonts w:hint="eastAsia" w:ascii="方正小标宋_GBK" w:hAnsi="方正小标宋_GBK" w:eastAsia="方正小标宋_GBK"/>
          <w:b w:val="0"/>
          <w:bCs w:val="0"/>
          <w:sz w:val="30"/>
        </w:rPr>
        <w:t>公共法律服务领域基层政务公开标准目录</w:t>
      </w:r>
      <w:bookmarkEnd w:id="0"/>
    </w:p>
    <w:tbl>
      <w:tblPr>
        <w:tblStyle w:val="4"/>
        <w:tblW w:w="14576"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663"/>
        <w:gridCol w:w="1250"/>
        <w:gridCol w:w="1346"/>
        <w:gridCol w:w="1988"/>
        <w:gridCol w:w="1717"/>
        <w:gridCol w:w="771"/>
        <w:gridCol w:w="1988"/>
        <w:gridCol w:w="778"/>
        <w:gridCol w:w="855"/>
        <w:gridCol w:w="705"/>
        <w:gridCol w:w="675"/>
        <w:gridCol w:w="70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Merge w:val="restart"/>
            <w:vAlign w:val="center"/>
          </w:tcPr>
          <w:p>
            <w:pPr>
              <w:widowControl/>
              <w:jc w:val="center"/>
              <w:rPr>
                <w:color w:val="000000"/>
                <w:kern w:val="0"/>
                <w:sz w:val="22"/>
              </w:rPr>
            </w:pPr>
            <w:r>
              <w:rPr>
                <w:rFonts w:hAnsi="宋体"/>
                <w:color w:val="000000"/>
                <w:kern w:val="0"/>
                <w:sz w:val="22"/>
              </w:rPr>
              <w:t>序号</w:t>
            </w:r>
          </w:p>
        </w:tc>
        <w:tc>
          <w:tcPr>
            <w:tcW w:w="191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34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8"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1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7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3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Merge w:val="continue"/>
            <w:vAlign w:val="center"/>
          </w:tcPr>
          <w:p>
            <w:pPr>
              <w:widowControl/>
              <w:jc w:val="left"/>
              <w:rPr>
                <w:color w:val="000000"/>
                <w:kern w:val="0"/>
                <w:sz w:val="22"/>
              </w:rPr>
            </w:pPr>
          </w:p>
        </w:tc>
        <w:tc>
          <w:tcPr>
            <w:tcW w:w="66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5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346" w:type="dxa"/>
            <w:vMerge w:val="continue"/>
            <w:vAlign w:val="center"/>
          </w:tcPr>
          <w:p>
            <w:pPr>
              <w:widowControl/>
              <w:jc w:val="left"/>
              <w:rPr>
                <w:rFonts w:ascii="黑体" w:hAnsi="宋体" w:eastAsia="黑体" w:cs="宋体"/>
                <w:color w:val="000000"/>
                <w:kern w:val="0"/>
                <w:sz w:val="22"/>
              </w:rPr>
            </w:pPr>
          </w:p>
        </w:tc>
        <w:tc>
          <w:tcPr>
            <w:tcW w:w="1988" w:type="dxa"/>
            <w:vMerge w:val="continue"/>
            <w:vAlign w:val="center"/>
          </w:tcPr>
          <w:p>
            <w:pPr>
              <w:widowControl/>
              <w:jc w:val="left"/>
              <w:rPr>
                <w:rFonts w:ascii="黑体" w:hAnsi="宋体" w:eastAsia="黑体" w:cs="宋体"/>
                <w:color w:val="000000"/>
                <w:kern w:val="0"/>
                <w:sz w:val="22"/>
              </w:rPr>
            </w:pPr>
          </w:p>
        </w:tc>
        <w:tc>
          <w:tcPr>
            <w:tcW w:w="1717" w:type="dxa"/>
            <w:vMerge w:val="continue"/>
            <w:vAlign w:val="center"/>
          </w:tcPr>
          <w:p>
            <w:pPr>
              <w:widowControl/>
              <w:jc w:val="left"/>
              <w:rPr>
                <w:rFonts w:ascii="黑体" w:hAnsi="宋体" w:eastAsia="黑体" w:cs="宋体"/>
                <w:color w:val="000000"/>
                <w:kern w:val="0"/>
                <w:sz w:val="22"/>
              </w:rPr>
            </w:pPr>
          </w:p>
        </w:tc>
        <w:tc>
          <w:tcPr>
            <w:tcW w:w="771" w:type="dxa"/>
            <w:vMerge w:val="continue"/>
            <w:vAlign w:val="center"/>
          </w:tcPr>
          <w:p>
            <w:pPr>
              <w:widowControl/>
              <w:jc w:val="left"/>
              <w:rPr>
                <w:rFonts w:ascii="黑体" w:hAnsi="宋体" w:eastAsia="黑体" w:cs="宋体"/>
                <w:color w:val="000000"/>
                <w:kern w:val="0"/>
                <w:sz w:val="22"/>
              </w:rPr>
            </w:pPr>
          </w:p>
        </w:tc>
        <w:tc>
          <w:tcPr>
            <w:tcW w:w="1988" w:type="dxa"/>
            <w:vMerge w:val="continue"/>
            <w:vAlign w:val="center"/>
          </w:tcPr>
          <w:p>
            <w:pPr>
              <w:widowControl/>
              <w:jc w:val="left"/>
              <w:rPr>
                <w:rFonts w:ascii="黑体" w:hAnsi="宋体" w:eastAsia="黑体" w:cs="宋体"/>
                <w:kern w:val="0"/>
                <w:sz w:val="22"/>
              </w:rPr>
            </w:pPr>
          </w:p>
        </w:tc>
        <w:tc>
          <w:tcPr>
            <w:tcW w:w="77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5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7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7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663"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346"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8"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《中共中央、国务院转发&lt;中央宣传部、司法部关于在公民中开展法治宣传教育的第七个五年规划（2016－2020年）&gt;》、广西壮族自治区“七五”普法规划</w:t>
            </w:r>
          </w:p>
        </w:tc>
        <w:tc>
          <w:tcPr>
            <w:tcW w:w="1717"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r>
              <w:rPr>
                <w:rFonts w:hint="eastAsia" w:ascii="仿宋_GB2312" w:hAnsi="宋体" w:eastAsia="仿宋_GB2312"/>
                <w:color w:val="000000"/>
                <w:sz w:val="18"/>
                <w:szCs w:val="18"/>
                <w:lang w:eastAsia="zh-CN"/>
              </w:rPr>
              <w:t>、各乡镇人民政府</w:t>
            </w:r>
          </w:p>
        </w:tc>
        <w:tc>
          <w:tcPr>
            <w:tcW w:w="1988"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■政府网站 ■两微一端    ■广播电视  ■入户/现场     ■社区/企事业单位/村公示栏（电子屏）</w:t>
            </w:r>
          </w:p>
        </w:tc>
        <w:tc>
          <w:tcPr>
            <w:tcW w:w="778"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663" w:type="dxa"/>
            <w:vMerge w:val="continue"/>
            <w:vAlign w:val="center"/>
          </w:tcPr>
          <w:p>
            <w:pPr>
              <w:jc w:val="center"/>
              <w:rPr>
                <w:rFonts w:ascii="仿宋_GB2312" w:hAnsi="宋体" w:eastAsia="仿宋_GB2312"/>
                <w:color w:val="000000"/>
                <w:sz w:val="18"/>
                <w:szCs w:val="18"/>
              </w:rPr>
            </w:pP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8" w:type="dxa"/>
            <w:vAlign w:val="top"/>
          </w:tcPr>
          <w:p>
            <w:r>
              <w:rPr>
                <w:rFonts w:hint="eastAsia" w:ascii="仿宋_GB2312" w:hAnsi="宋体" w:eastAsia="仿宋_GB2312"/>
                <w:color w:val="000000"/>
                <w:sz w:val="18"/>
                <w:szCs w:val="18"/>
              </w:rPr>
              <w:t>《中共中央、国务院转发&lt;中央宣传部、司法部关于在公民中开展法治宣传教育的第七个五年规划（2016－2020年）&gt;》、广西壮族自治区“七五”普法规划</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top"/>
          </w:tcPr>
          <w:p>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r>
              <w:rPr>
                <w:rFonts w:hint="eastAsia" w:ascii="仿宋_GB2312" w:hAnsi="宋体" w:eastAsia="仿宋_GB2312"/>
                <w:color w:val="000000"/>
                <w:sz w:val="18"/>
                <w:szCs w:val="18"/>
                <w:lang w:eastAsia="zh-CN"/>
              </w:rPr>
              <w:t>、各乡镇人民政府</w:t>
            </w:r>
          </w:p>
        </w:tc>
        <w:tc>
          <w:tcPr>
            <w:tcW w:w="1988"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■政府网站  ■两微一端    ■广播电视  ■入户/现场     ■社区/企事业单位/村公示栏（电子屏）</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663" w:type="dxa"/>
            <w:vMerge w:val="continue"/>
            <w:vAlign w:val="center"/>
          </w:tcPr>
          <w:p>
            <w:pPr>
              <w:jc w:val="center"/>
              <w:rPr>
                <w:rFonts w:ascii="仿宋_GB2312" w:hAnsi="宋体" w:eastAsia="仿宋_GB2312"/>
                <w:color w:val="000000"/>
                <w:sz w:val="18"/>
                <w:szCs w:val="18"/>
              </w:rPr>
            </w:pP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8" w:type="dxa"/>
            <w:vAlign w:val="top"/>
          </w:tcPr>
          <w:p>
            <w:r>
              <w:rPr>
                <w:rFonts w:hint="eastAsia" w:ascii="仿宋_GB2312" w:hAnsi="宋体" w:eastAsia="仿宋_GB2312"/>
                <w:color w:val="000000"/>
                <w:sz w:val="18"/>
                <w:szCs w:val="18"/>
              </w:rPr>
              <w:t>《中共中央、国务院转发&lt;中央宣传部、司法部关于在公民中开展法治宣传教育的第七个五年规划（2016－2020年）&gt;》、广西壮族自治区“七五”普法规划</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66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《中华人民共和国律师法》</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66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250" w:type="dxa"/>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《中华人民共和国公证法》、司法部《公证员执业管理办法》</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778" w:type="dxa"/>
            <w:vAlign w:val="center"/>
          </w:tcPr>
          <w:p>
            <w:pPr>
              <w:jc w:val="center"/>
              <w:rPr>
                <w:rFonts w:ascii="仿宋_GB2312" w:hAnsi="宋体" w:eastAsia="仿宋_GB2312"/>
                <w:color w:val="000000"/>
                <w:sz w:val="18"/>
                <w:szCs w:val="18"/>
              </w:rPr>
            </w:pPr>
          </w:p>
        </w:tc>
        <w:tc>
          <w:tcPr>
            <w:tcW w:w="8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66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《中华人民共和国法律援助条例》、《广西壮族自治区法律援助条例》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778" w:type="dxa"/>
            <w:vAlign w:val="center"/>
          </w:tcPr>
          <w:p>
            <w:pPr>
              <w:jc w:val="center"/>
              <w:rPr>
                <w:rFonts w:ascii="仿宋_GB2312" w:hAnsi="宋体" w:eastAsia="仿宋_GB2312"/>
                <w:color w:val="000000"/>
                <w:sz w:val="18"/>
                <w:szCs w:val="18"/>
              </w:rPr>
            </w:pPr>
          </w:p>
        </w:tc>
        <w:tc>
          <w:tcPr>
            <w:tcW w:w="8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66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《中华人民共和国法律援助条例》、《广西壮族自治区法律援助条例》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778" w:type="dxa"/>
            <w:vAlign w:val="center"/>
          </w:tcPr>
          <w:p>
            <w:pPr>
              <w:jc w:val="center"/>
              <w:rPr>
                <w:rFonts w:ascii="仿宋_GB2312" w:hAnsi="宋体" w:eastAsia="仿宋_GB2312"/>
                <w:color w:val="000000"/>
                <w:sz w:val="18"/>
                <w:szCs w:val="18"/>
              </w:rPr>
            </w:pPr>
          </w:p>
        </w:tc>
        <w:tc>
          <w:tcPr>
            <w:tcW w:w="8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705" w:type="dxa"/>
            <w:vAlign w:val="center"/>
          </w:tcPr>
          <w:p>
            <w:pPr>
              <w:jc w:val="center"/>
              <w:rPr>
                <w:rFonts w:ascii="仿宋_GB2312" w:hAnsi="宋体" w:eastAsia="仿宋_GB2312"/>
                <w:color w:val="000000"/>
                <w:sz w:val="18"/>
                <w:szCs w:val="18"/>
              </w:rPr>
            </w:pPr>
          </w:p>
        </w:tc>
        <w:tc>
          <w:tcPr>
            <w:tcW w:w="67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663" w:type="dxa"/>
            <w:vMerge w:val="continue"/>
            <w:vAlign w:val="center"/>
          </w:tcPr>
          <w:p>
            <w:pPr>
              <w:jc w:val="center"/>
              <w:rPr>
                <w:rFonts w:ascii="仿宋_GB2312" w:hAnsi="宋体" w:eastAsia="仿宋_GB2312"/>
                <w:color w:val="000000"/>
                <w:sz w:val="18"/>
                <w:szCs w:val="18"/>
              </w:rPr>
            </w:pP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《中华人民共和国法律援助条例》、《广西壮族自治区法律援助条例》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778" w:type="dxa"/>
            <w:vAlign w:val="center"/>
          </w:tcPr>
          <w:p>
            <w:pPr>
              <w:jc w:val="center"/>
              <w:rPr>
                <w:rFonts w:ascii="仿宋_GB2312" w:hAnsi="宋体" w:eastAsia="仿宋_GB2312"/>
                <w:color w:val="000000"/>
                <w:sz w:val="18"/>
                <w:szCs w:val="18"/>
              </w:rPr>
            </w:pPr>
          </w:p>
        </w:tc>
        <w:tc>
          <w:tcPr>
            <w:tcW w:w="8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705" w:type="dxa"/>
            <w:vAlign w:val="center"/>
          </w:tcPr>
          <w:p>
            <w:pPr>
              <w:jc w:val="center"/>
              <w:rPr>
                <w:rFonts w:ascii="仿宋_GB2312" w:hAnsi="宋体" w:eastAsia="仿宋_GB2312"/>
                <w:color w:val="000000"/>
                <w:sz w:val="18"/>
                <w:szCs w:val="18"/>
              </w:rPr>
            </w:pPr>
          </w:p>
        </w:tc>
        <w:tc>
          <w:tcPr>
            <w:tcW w:w="67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663" w:type="dxa"/>
            <w:vMerge w:val="continue"/>
            <w:vAlign w:val="center"/>
          </w:tcPr>
          <w:p>
            <w:pPr>
              <w:jc w:val="center"/>
              <w:rPr>
                <w:rFonts w:ascii="仿宋_GB2312" w:hAnsi="宋体" w:eastAsia="仿宋_GB2312"/>
                <w:color w:val="000000"/>
                <w:sz w:val="18"/>
                <w:szCs w:val="18"/>
              </w:rPr>
            </w:pP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《中华人民共和国法律援助条例》、《广西壮族自治区法律援助条例》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66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《中华人民共和国法律援助条例》、《广西壮族自治区法律援助条例》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663"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司法部《基层法律服务工作者管理办法》</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778" w:type="dxa"/>
            <w:vAlign w:val="center"/>
          </w:tcPr>
          <w:p>
            <w:pPr>
              <w:jc w:val="center"/>
              <w:rPr>
                <w:rFonts w:ascii="仿宋_GB2312" w:hAnsi="宋体" w:eastAsia="仿宋_GB2312"/>
                <w:color w:val="000000"/>
                <w:sz w:val="18"/>
                <w:szCs w:val="18"/>
              </w:rPr>
            </w:pPr>
          </w:p>
        </w:tc>
        <w:tc>
          <w:tcPr>
            <w:tcW w:w="8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663"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司法部《基层法律服务所管理办法》、《基层法律服务工作者管理办法》</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663" w:type="dxa"/>
            <w:vMerge w:val="continue"/>
            <w:vAlign w:val="center"/>
          </w:tcPr>
          <w:p>
            <w:pPr>
              <w:jc w:val="center"/>
              <w:rPr>
                <w:rFonts w:ascii="仿宋_GB2312" w:hAnsi="宋体" w:eastAsia="仿宋_GB2312"/>
                <w:color w:val="000000"/>
                <w:sz w:val="18"/>
                <w:szCs w:val="18"/>
              </w:rPr>
            </w:pP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司法部《基层法律服务所管理办法》、《基层法律服务工作者管理办法》</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66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《中华人民共和国人民调解法》</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663"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《中共中央、国务院转发&lt;中央宣传部、司法部关于在公民中开展法治宣传教育的第七个五年规划（2016－2020年）&gt;》、广西壮族自治区“七五”普法规划</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663" w:type="dxa"/>
            <w:vMerge w:val="continue"/>
            <w:vAlign w:val="center"/>
          </w:tcPr>
          <w:p>
            <w:pPr>
              <w:jc w:val="center"/>
              <w:rPr>
                <w:rFonts w:ascii="仿宋_GB2312" w:hAnsi="宋体" w:eastAsia="仿宋_GB2312"/>
                <w:color w:val="000000"/>
                <w:sz w:val="18"/>
                <w:szCs w:val="18"/>
              </w:rPr>
            </w:pP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jc w:val="left"/>
              <w:textAlignment w:val="center"/>
              <w:rPr>
                <w:rFonts w:ascii="仿宋_GB2312" w:hAnsi="宋体" w:eastAsia="仿宋_GB2312"/>
                <w:color w:val="000000"/>
                <w:sz w:val="18"/>
                <w:szCs w:val="18"/>
              </w:rPr>
            </w:pP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663"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r>
              <w:rPr>
                <w:rFonts w:hint="eastAsia" w:ascii="仿宋_GB2312" w:hAnsi="宋体" w:eastAsia="仿宋_GB2312"/>
                <w:color w:val="000000"/>
                <w:sz w:val="18"/>
                <w:szCs w:val="18"/>
                <w:lang w:eastAsia="zh-CN"/>
              </w:rPr>
              <w:t>各乡镇人民政府</w:t>
            </w:r>
          </w:p>
        </w:tc>
        <w:tc>
          <w:tcPr>
            <w:tcW w:w="1988" w:type="dxa"/>
            <w:vAlign w:val="center"/>
          </w:tcPr>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6" w:hRule="atLeas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66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346" w:type="dxa"/>
            <w:vAlign w:val="center"/>
          </w:tcPr>
          <w:p>
            <w:pPr>
              <w:tabs>
                <w:tab w:val="center" w:pos="4153"/>
                <w:tab w:val="right" w:pos="8306"/>
              </w:tabs>
              <w:snapToGrid w:val="0"/>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r>
              <w:rPr>
                <w:rFonts w:hint="eastAsia" w:ascii="仿宋_GB2312" w:hAnsi="宋体" w:eastAsia="仿宋_GB2312"/>
                <w:color w:val="000000"/>
                <w:sz w:val="18"/>
                <w:szCs w:val="18"/>
                <w:lang w:eastAsia="zh-CN"/>
              </w:rPr>
              <w:t>各乡镇人民政府</w:t>
            </w:r>
          </w:p>
        </w:tc>
        <w:tc>
          <w:tcPr>
            <w:tcW w:w="1988"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jc w:val="left"/>
              <w:textAlignment w:val="center"/>
              <w:rPr>
                <w:rFonts w:ascii="仿宋_GB2312" w:hAnsi="宋体" w:eastAsia="仿宋_GB2312"/>
                <w:color w:val="000000"/>
                <w:sz w:val="18"/>
                <w:szCs w:val="18"/>
              </w:rPr>
            </w:pP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widowControl w:val="0"/>
        <w:numPr>
          <w:ilvl w:val="0"/>
          <w:numId w:val="0"/>
        </w:numPr>
        <w:jc w:val="both"/>
        <w:outlineLvl w:val="9"/>
        <w:rPr>
          <w:rFonts w:hint="eastAsia"/>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141D4"/>
    <w:rsid w:val="33824DCA"/>
    <w:rsid w:val="3DB141D4"/>
    <w:rsid w:val="78FD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9"/>
    <w:pPr>
      <w:spacing w:before="100" w:beforeAutospacing="1" w:after="100" w:afterAutospacing="1"/>
      <w:jc w:val="left"/>
      <w:outlineLvl w:val="2"/>
    </w:pPr>
    <w:rPr>
      <w:rFonts w:ascii="宋体" w:hAnsi="宋体"/>
      <w:b/>
      <w:kern w:val="0"/>
      <w:sz w:val="27"/>
      <w:szCs w:val="27"/>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2020-11-27T08:08:00Z</dcterms:created>
  <dc:creator>月</dc:creator>
  <cp:lastModifiedBy>月</cp:lastModifiedBy>
  <cp:lastPrinted>2020-11-27T08:08:00Z</cp:lastPrinted>
  <dcterms:modified xsi:type="dcterms:W3CDTF">2020-11-30T02:46:13Z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