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8"/>
        <w:gridCol w:w="850"/>
        <w:gridCol w:w="1348"/>
        <w:gridCol w:w="1529"/>
        <w:gridCol w:w="1880"/>
        <w:gridCol w:w="1657"/>
        <w:gridCol w:w="866"/>
        <w:gridCol w:w="2266"/>
        <w:gridCol w:w="529"/>
        <w:gridCol w:w="866"/>
        <w:gridCol w:w="529"/>
        <w:gridCol w:w="690"/>
        <w:gridCol w:w="529"/>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Pr>
        <w:tc>
          <w:tcPr>
            <w:tcW w:w="528"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default" w:ascii="Times New Roman" w:hAnsi="Times New Roman" w:eastAsia="微软雅黑" w:cs="Times New Roman"/>
                <w:sz w:val="22"/>
                <w:szCs w:val="22"/>
              </w:rPr>
              <w:t>号</w:t>
            </w:r>
          </w:p>
        </w:tc>
        <w:tc>
          <w:tcPr>
            <w:tcW w:w="219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ascii="黑体" w:hAnsi="宋体" w:eastAsia="黑体" w:cs="黑体"/>
                <w:sz w:val="22"/>
                <w:szCs w:val="22"/>
              </w:rPr>
              <w:t>公开事项</w:t>
            </w:r>
          </w:p>
        </w:tc>
        <w:tc>
          <w:tcPr>
            <w:tcW w:w="1529"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公开内容（要素）</w:t>
            </w:r>
          </w:p>
        </w:tc>
        <w:tc>
          <w:tcPr>
            <w:tcW w:w="188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公开依据</w:t>
            </w:r>
          </w:p>
        </w:tc>
        <w:tc>
          <w:tcPr>
            <w:tcW w:w="1657"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公开时限</w:t>
            </w:r>
          </w:p>
        </w:tc>
        <w:tc>
          <w:tcPr>
            <w:tcW w:w="866"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公开主体</w:t>
            </w:r>
          </w:p>
        </w:tc>
        <w:tc>
          <w:tcPr>
            <w:tcW w:w="2266"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公开渠道和载体</w:t>
            </w:r>
          </w:p>
        </w:tc>
        <w:tc>
          <w:tcPr>
            <w:tcW w:w="1395" w:type="dxa"/>
            <w:gridSpan w:val="2"/>
            <w:tcBorders>
              <w:top w:val="single" w:color="auto" w:sz="6" w:space="0"/>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公开对象</w:t>
            </w:r>
          </w:p>
        </w:tc>
        <w:tc>
          <w:tcPr>
            <w:tcW w:w="1219"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公开方式</w:t>
            </w:r>
          </w:p>
        </w:tc>
        <w:tc>
          <w:tcPr>
            <w:tcW w:w="1242"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8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一级事项</w:t>
            </w: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二级事项</w:t>
            </w:r>
          </w:p>
        </w:tc>
        <w:tc>
          <w:tcPr>
            <w:tcW w:w="1529"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88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657"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86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226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全社会</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特定群众</w:t>
            </w:r>
          </w:p>
        </w:tc>
        <w:tc>
          <w:tcPr>
            <w:tcW w:w="52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主动</w:t>
            </w:r>
          </w:p>
        </w:tc>
        <w:tc>
          <w:tcPr>
            <w:tcW w:w="69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依申请公开</w:t>
            </w:r>
          </w:p>
        </w:tc>
        <w:tc>
          <w:tcPr>
            <w:tcW w:w="52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县级</w:t>
            </w:r>
          </w:p>
        </w:tc>
        <w:tc>
          <w:tcPr>
            <w:tcW w:w="71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ascii="仿宋_GB2312" w:hAnsi="微软雅黑" w:eastAsia="仿宋_GB2312" w:cs="仿宋_GB2312"/>
                <w:color w:val="000000" w:themeColor="text1"/>
                <w:sz w:val="18"/>
                <w:szCs w:val="18"/>
                <w:shd w:val="clear" w:color="auto" w:fill="auto"/>
                <w14:textFill>
                  <w14:solidFill>
                    <w14:schemeClr w14:val="tx1"/>
                  </w14:solidFill>
                </w14:textFill>
              </w:rPr>
              <w:t>1</w:t>
            </w:r>
          </w:p>
        </w:tc>
        <w:tc>
          <w:tcPr>
            <w:tcW w:w="85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法治宣传教育</w:t>
            </w: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法律知识普及服务</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法律法规资讯；普法动态资讯；普法讲师团信息等</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《中共中央、国务院转发&lt;中央宣传部、司法部关于在公民中开展法治宣传教育的第七个五年规划（2016－2020年）&gt;》、</w:t>
            </w:r>
            <w: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t>《自治区党委、政府转发</w:t>
            </w:r>
            <w: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t>&lt;</w:t>
            </w:r>
            <w: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t>自治区党委宣传部、自治区司法厅关于在公民中开展法治宣传教育的第七个五年规划（2016-2020年）</w:t>
            </w:r>
            <w: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t>&gt;</w:t>
            </w:r>
            <w: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县司法局</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入户/现场     </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■社区/企事业单位/村公示栏（电子屏）</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2</w:t>
            </w:r>
          </w:p>
        </w:tc>
        <w:tc>
          <w:tcPr>
            <w:tcW w:w="85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推广法治文化服务</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辖区内法治文化阵地信息；法治文化作品、产品</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同上</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县司法局</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同上</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3</w:t>
            </w:r>
          </w:p>
        </w:tc>
        <w:tc>
          <w:tcPr>
            <w:tcW w:w="85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对在法治宣传教育工作中做出显著成绩的单位和个人进行表彰奖励</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评选表彰通知；先进集体和个人申报表（空白表）；拟表彰的先进集体先进个人名单；表彰决定</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同上</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县司法局</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同上</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auto"/>
                <w:shd w:val="clear" w:color="auto" w:fill="auto"/>
              </w:rPr>
            </w:pPr>
            <w:r>
              <w:rPr>
                <w:rFonts w:hint="default" w:ascii="仿宋_GB2312" w:hAnsi="微软雅黑" w:eastAsia="仿宋_GB2312" w:cs="仿宋_GB2312"/>
                <w:color w:val="auto"/>
                <w:sz w:val="18"/>
                <w:szCs w:val="18"/>
                <w:shd w:val="clear" w:color="auto" w:fill="auto"/>
              </w:rPr>
              <w:t>4</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auto"/>
                <w:shd w:val="clear" w:color="auto" w:fill="auto"/>
              </w:rPr>
            </w:pPr>
            <w:r>
              <w:rPr>
                <w:rFonts w:hint="default" w:ascii="仿宋_GB2312" w:hAnsi="微软雅黑" w:eastAsia="仿宋_GB2312" w:cs="仿宋_GB2312"/>
                <w:color w:val="auto"/>
                <w:sz w:val="18"/>
                <w:szCs w:val="18"/>
                <w:shd w:val="clear" w:color="auto" w:fill="auto"/>
              </w:rPr>
              <w:t>律师</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auto"/>
                <w:shd w:val="clear" w:color="auto" w:fill="auto"/>
              </w:rPr>
            </w:pPr>
            <w:r>
              <w:rPr>
                <w:rFonts w:hint="default" w:ascii="仿宋_GB2312" w:hAnsi="微软雅黑" w:eastAsia="仿宋_GB2312" w:cs="仿宋_GB2312"/>
                <w:color w:val="auto"/>
                <w:sz w:val="18"/>
                <w:szCs w:val="18"/>
                <w:shd w:val="clear" w:color="auto" w:fill="auto"/>
              </w:rPr>
              <w:t>对没有取得律师执业证书以律师名义从事法律业务行为的处罚</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auto"/>
                <w:shd w:val="clear" w:color="auto" w:fill="auto"/>
              </w:rPr>
            </w:pPr>
            <w:r>
              <w:rPr>
                <w:rFonts w:hint="default" w:ascii="仿宋_GB2312" w:hAnsi="微软雅黑" w:eastAsia="仿宋_GB2312" w:cs="仿宋_GB2312"/>
                <w:color w:val="auto"/>
                <w:sz w:val="18"/>
                <w:szCs w:val="18"/>
                <w:shd w:val="clear" w:color="auto" w:fill="auto"/>
              </w:rPr>
              <w:t>行政处罚决定或行政处罚决定书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auto"/>
                <w:shd w:val="clear" w:color="auto" w:fill="auto"/>
              </w:rPr>
            </w:pPr>
            <w:r>
              <w:rPr>
                <w:rFonts w:hint="eastAsia" w:ascii="宋体" w:hAnsi="宋体" w:eastAsia="宋体" w:cs="宋体"/>
                <w:color w:val="auto"/>
                <w:sz w:val="18"/>
                <w:szCs w:val="18"/>
              </w:rPr>
              <w:t>《中华人民共和国律师法》</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auto"/>
                <w:shd w:val="clear" w:color="auto" w:fill="auto"/>
              </w:rPr>
            </w:pPr>
            <w:r>
              <w:rPr>
                <w:rFonts w:hint="default" w:ascii="仿宋_GB2312" w:hAnsi="微软雅黑" w:eastAsia="仿宋_GB2312" w:cs="仿宋_GB2312"/>
                <w:color w:val="auto"/>
                <w:sz w:val="18"/>
                <w:szCs w:val="18"/>
                <w:shd w:val="clear" w:color="auto" w:fill="auto"/>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仿宋_GB2312"/>
                <w:color w:val="auto"/>
                <w:shd w:val="clear" w:color="auto" w:fill="auto"/>
                <w:lang w:eastAsia="zh-CN"/>
              </w:rPr>
            </w:pPr>
            <w:r>
              <w:rPr>
                <w:rFonts w:hint="eastAsia" w:ascii="仿宋_GB2312" w:hAnsi="微软雅黑" w:eastAsia="仿宋_GB2312" w:cs="仿宋_GB2312"/>
                <w:color w:val="auto"/>
                <w:sz w:val="18"/>
                <w:szCs w:val="18"/>
                <w:shd w:val="clear" w:color="auto" w:fill="auto"/>
                <w:lang w:eastAsia="zh-CN"/>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auto"/>
                <w:shd w:val="clear" w:color="auto" w:fill="auto"/>
              </w:rPr>
            </w:pPr>
            <w:r>
              <w:rPr>
                <w:rFonts w:hint="default" w:ascii="仿宋_GB2312" w:hAnsi="微软雅黑" w:eastAsia="仿宋_GB2312" w:cs="仿宋_GB2312"/>
                <w:color w:val="auto"/>
                <w:sz w:val="18"/>
                <w:szCs w:val="18"/>
                <w:shd w:val="clear" w:color="auto" w:fill="auto"/>
              </w:rPr>
              <w:t>■政府网站  </w:t>
            </w:r>
            <w:r>
              <w:rPr>
                <w:rFonts w:hint="eastAsia" w:ascii="宋体" w:hAnsi="宋体" w:eastAsia="宋体" w:cs="宋体"/>
                <w:color w:val="auto"/>
                <w:sz w:val="18"/>
                <w:szCs w:val="18"/>
                <w:shd w:val="clear" w:color="auto" w:fill="auto"/>
              </w:rPr>
              <w:t>■</w:t>
            </w:r>
            <w:r>
              <w:rPr>
                <w:rFonts w:hint="default" w:ascii="仿宋_GB2312" w:hAnsi="微软雅黑" w:eastAsia="仿宋_GB2312" w:cs="仿宋_GB2312"/>
                <w:color w:val="auto"/>
                <w:sz w:val="18"/>
                <w:szCs w:val="18"/>
                <w:shd w:val="clear" w:color="auto" w:fill="auto"/>
              </w:rPr>
              <w:t>两微一端</w:t>
            </w:r>
            <w:r>
              <w:rPr>
                <w:rFonts w:hint="eastAsia" w:ascii="仿宋_GB2312" w:hAnsi="微软雅黑" w:eastAsia="仿宋_GB2312" w:cs="仿宋_GB2312"/>
                <w:color w:val="auto"/>
                <w:sz w:val="18"/>
                <w:szCs w:val="18"/>
                <w:shd w:val="clear" w:color="auto" w:fill="auto"/>
                <w:lang w:val="en-US" w:eastAsia="zh-CN"/>
              </w:rPr>
              <w:t xml:space="preserve"> </w:t>
            </w:r>
            <w:r>
              <w:rPr>
                <w:rFonts w:hint="default" w:ascii="仿宋_GB2312" w:hAnsi="微软雅黑" w:eastAsia="仿宋_GB2312" w:cs="仿宋_GB2312"/>
                <w:color w:val="auto"/>
                <w:sz w:val="18"/>
                <w:szCs w:val="18"/>
                <w:shd w:val="clear" w:color="auto" w:fill="auto"/>
              </w:rPr>
              <w:t> </w:t>
            </w:r>
            <w:r>
              <w:rPr>
                <w:rFonts w:hint="eastAsia" w:ascii="宋体" w:hAnsi="宋体" w:eastAsia="宋体" w:cs="宋体"/>
                <w:color w:val="auto"/>
                <w:sz w:val="18"/>
                <w:szCs w:val="18"/>
                <w:shd w:val="clear" w:color="auto" w:fill="auto"/>
              </w:rPr>
              <w:t>■</w:t>
            </w:r>
            <w:r>
              <w:rPr>
                <w:rFonts w:hint="default" w:ascii="仿宋_GB2312" w:hAnsi="微软雅黑" w:eastAsia="仿宋_GB2312" w:cs="仿宋_GB2312"/>
                <w:color w:val="auto"/>
                <w:sz w:val="18"/>
                <w:szCs w:val="18"/>
                <w:shd w:val="clear" w:color="auto" w:fill="auto"/>
              </w:rPr>
              <w:t>入户/现场     </w:t>
            </w:r>
          </w:p>
          <w:p>
            <w:pPr>
              <w:pStyle w:val="2"/>
              <w:keepNext w:val="0"/>
              <w:keepLines w:val="0"/>
              <w:widowControl/>
              <w:suppressLineNumbers w:val="0"/>
              <w:wordWrap w:val="0"/>
              <w:spacing w:before="450" w:beforeAutospacing="0" w:after="450" w:afterAutospacing="0"/>
              <w:ind w:left="0" w:right="0"/>
              <w:rPr>
                <w:color w:val="auto"/>
                <w:shd w:val="clear" w:color="auto" w:fill="auto"/>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auto"/>
                <w:shd w:val="clear" w:color="auto" w:fill="auto"/>
              </w:rPr>
            </w:pPr>
            <w:r>
              <w:rPr>
                <w:rFonts w:hint="default" w:ascii="仿宋_GB2312" w:hAnsi="微软雅黑" w:eastAsia="仿宋_GB2312" w:cs="仿宋_GB2312"/>
                <w:color w:val="auto"/>
                <w:sz w:val="18"/>
                <w:szCs w:val="18"/>
                <w:shd w:val="clear" w:color="auto" w:fill="auto"/>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auto"/>
                <w:sz w:val="24"/>
                <w:szCs w:val="24"/>
                <w:shd w:val="clear" w:color="auto" w:fill="auto"/>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auto"/>
                <w:shd w:val="clear" w:color="auto" w:fill="auto"/>
              </w:rPr>
            </w:pPr>
            <w:r>
              <w:rPr>
                <w:rFonts w:hint="default" w:ascii="仿宋_GB2312" w:hAnsi="微软雅黑" w:eastAsia="仿宋_GB2312" w:cs="仿宋_GB2312"/>
                <w:color w:val="auto"/>
                <w:sz w:val="18"/>
                <w:szCs w:val="18"/>
                <w:shd w:val="clear" w:color="auto" w:fill="auto"/>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auto"/>
                <w:sz w:val="24"/>
                <w:szCs w:val="24"/>
                <w:shd w:val="clear" w:color="auto" w:fill="auto"/>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auto"/>
                <w:shd w:val="clear" w:color="auto" w:fill="auto"/>
              </w:rPr>
            </w:pPr>
            <w:r>
              <w:rPr>
                <w:rFonts w:hint="default" w:ascii="仿宋_GB2312" w:hAnsi="微软雅黑" w:eastAsia="仿宋_GB2312" w:cs="仿宋_GB2312"/>
                <w:color w:val="auto"/>
                <w:sz w:val="18"/>
                <w:szCs w:val="18"/>
                <w:shd w:val="clear" w:color="auto" w:fill="auto"/>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auto"/>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5</w:t>
            </w:r>
          </w:p>
        </w:tc>
        <w:tc>
          <w:tcPr>
            <w:tcW w:w="8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公证</w:t>
            </w: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sz w:val="18"/>
                <w:szCs w:val="18"/>
              </w:rPr>
              <w:t>公证员一般任职执业审核、考核任职执业审核</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sz w:val="18"/>
                <w:szCs w:val="18"/>
              </w:rPr>
              <w:t>审查（考核）意见</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sz w:val="18"/>
                <w:szCs w:val="18"/>
              </w:rPr>
              <w:t>《公证法》、《公证员执业管理办法》</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sz w:val="18"/>
                <w:szCs w:val="18"/>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default" w:ascii="仿宋_GB2312" w:hAnsi="微软雅黑" w:eastAsia="仿宋_GB2312" w:cs="仿宋_GB2312"/>
                <w:sz w:val="18"/>
                <w:szCs w:val="18"/>
              </w:rPr>
              <w:t>司法行政部门</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■精准推送 </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申请人</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790" w:hRule="atLeas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6</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法律援助服务</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给予法律援助决定书；不予法律援助决定书；指派通知书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昭平县法律援助中心</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■精准推送</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法律援助申请人、受指派的律师事务所或其他组织等</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7</w:t>
            </w:r>
          </w:p>
        </w:tc>
        <w:tc>
          <w:tcPr>
            <w:tcW w:w="850" w:type="dxa"/>
            <w:vMerge w:val="restart"/>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法律援助办案人员办案补贴的审核发放</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案件补贴审核发放表</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自收到公开申请之日起20个工作日内公开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昭平县法律援助中心</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■精准推送 </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申请人</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8</w:t>
            </w:r>
          </w:p>
        </w:tc>
        <w:tc>
          <w:tcPr>
            <w:tcW w:w="850" w:type="dxa"/>
            <w:vMerge w:val="continue"/>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对法律援助机构不予援助决定异议的审查</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处理决定书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自收到公开申请之日起20个工作日内公开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昭平县法律援助中心</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■精准推送</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申请人</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9</w:t>
            </w:r>
          </w:p>
        </w:tc>
        <w:tc>
          <w:tcPr>
            <w:tcW w:w="850" w:type="dxa"/>
            <w:vMerge w:val="continue"/>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对在法律援助工作中作出突出贡献的组织和个人进行表彰奖励</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评选表彰通知；先进集体和个人申报表（空白表）；拟表彰的先进集体先进个人名单；表彰决定</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  ■纸质媒体</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10</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对律师事务所拒绝法律援助机构指派，不安排本所律师办理法律援助案件、律师无正当理由拒绝接受、擅自终止法律援助案件或办理法律援助案件收取财物的处罚</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行政处罚决定或行政处罚决定书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法律援助条例》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■两微一端                        </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11</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服务</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基层法律服务工作者执业核准许可</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不予受理通知书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《基层法律服务工作者管理办法》</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■精准推送 </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申请人</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12</w:t>
            </w:r>
          </w:p>
        </w:tc>
        <w:tc>
          <w:tcPr>
            <w:tcW w:w="850" w:type="dxa"/>
            <w:vMerge w:val="restart"/>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服务</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对基层法律服务所、基层法律服务工作者违法违规行为的处罚</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行政处罚决定或行政处罚决定书</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《基层法律服务所管理办法》、《基层法律服务工作者管理办法》</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■两微一端   </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13</w:t>
            </w:r>
          </w:p>
        </w:tc>
        <w:tc>
          <w:tcPr>
            <w:tcW w:w="850" w:type="dxa"/>
            <w:vMerge w:val="continue"/>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对基层法律服务所、基层法律服务工作者进行表彰奖励</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评选表彰通知；先进集体和个人申报表（空白表）；拟表彰的先进集体先进个人名单；表彰决定</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《基层法律服务所管理办法》、《基层法律服务工作者管理办法》</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14</w:t>
            </w:r>
          </w:p>
        </w:tc>
        <w:tc>
          <w:tcPr>
            <w:tcW w:w="8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人民调解</w:t>
            </w: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对有突出贡献的人民调解委员会和人民调解员按照国家规定给予表彰奖励</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评选表彰通知；先进集体和个人申报表（空白表）；拟表彰的先进集体先进个人名单；</w:t>
            </w:r>
          </w:p>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表彰决定</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《人民调解法》</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val="en-US"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   </w:t>
            </w:r>
            <w: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社区/企事业单位/村公示栏（电子屏）</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15</w:t>
            </w:r>
          </w:p>
        </w:tc>
        <w:tc>
          <w:tcPr>
            <w:tcW w:w="85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查询</w:t>
            </w:r>
          </w:p>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服务</w:t>
            </w:r>
          </w:p>
        </w:tc>
        <w:tc>
          <w:tcPr>
            <w:tcW w:w="134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法律法规和案例检索服务</w:t>
            </w:r>
          </w:p>
        </w:tc>
        <w:tc>
          <w:tcPr>
            <w:tcW w:w="1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法律法规库网址或链接；典型案例库网址或链接</w:t>
            </w:r>
          </w:p>
        </w:tc>
        <w:tc>
          <w:tcPr>
            <w:tcW w:w="18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《中共中央、国务院转发&lt;中央宣传部、司法部关于在公民中开展法治宣传教育的第七个五年规划（2016－2020年）&gt;》《</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广西壮族自治区</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“七五”普法规划》</w:t>
            </w:r>
          </w:p>
        </w:tc>
        <w:tc>
          <w:tcPr>
            <w:tcW w:w="165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rFonts w:hint="eastAsia" w:eastAsiaTheme="minorEastAsia"/>
                <w:color w:val="000000" w:themeColor="text1"/>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县司法局</w:t>
            </w:r>
          </w:p>
        </w:tc>
        <w:tc>
          <w:tcPr>
            <w:tcW w:w="22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宋体" w:hAnsi="宋体" w:eastAsia="宋体" w:cs="宋体"/>
                <w:color w:val="000000" w:themeColor="text1"/>
                <w:sz w:val="18"/>
                <w:szCs w:val="18"/>
                <w:shd w:val="clear" w:color="auto" w:fill="auto"/>
                <w14:textFill>
                  <w14:solidFill>
                    <w14:schemeClr w14:val="tx1"/>
                  </w14:solidFill>
                </w14:textFill>
              </w:rPr>
              <w:t>■</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两微一端</w:t>
            </w: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16</w:t>
            </w:r>
          </w:p>
        </w:tc>
        <w:tc>
          <w:tcPr>
            <w:tcW w:w="850" w:type="dxa"/>
            <w:vMerge w:val="continue"/>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法律服务机构、人员信息查询服务</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辖区内的律师、公证、基层法律服务、人民调解等法律服务机构和人员有关基本信息、从业信息和信用信息等</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《政府信息公开条例》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■两微一端■</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公共法律服务中心</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  </w:t>
            </w:r>
          </w:p>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 </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eastAsia" w:ascii="仿宋_GB2312" w:hAnsi="微软雅黑" w:eastAsia="仿宋_GB2312" w:cs="仿宋_GB2312"/>
                <w:color w:val="000000" w:themeColor="text1"/>
                <w:sz w:val="18"/>
                <w:szCs w:val="18"/>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17</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法律咨询服务</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公共法律服务实体平台、热线平台、网络平台咨询服务</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公共法律服务实体、热线、网络平台法律咨询服务指南</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《政府信息公开条例》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、公共法律服务中心、公共法律服务工作站</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两微一端</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  ■</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公共法律服务中心</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  </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w:t>
            </w: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28" w:type="dxa"/>
            <w:tcBorders>
              <w:top w:val="nil"/>
              <w:left w:val="single" w:color="auto" w:sz="6" w:space="0"/>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18</w:t>
            </w:r>
          </w:p>
        </w:tc>
        <w:tc>
          <w:tcPr>
            <w:tcW w:w="85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公共法律服务平台</w:t>
            </w:r>
          </w:p>
        </w:tc>
        <w:tc>
          <w:tcPr>
            <w:tcW w:w="1348"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公共法律服务实体、热线、网络平台信息</w:t>
            </w:r>
          </w:p>
        </w:tc>
        <w:tc>
          <w:tcPr>
            <w:tcW w:w="1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line="360" w:lineRule="auto"/>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88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《政府信息公开条例》</w:t>
            </w:r>
          </w:p>
        </w:tc>
        <w:tc>
          <w:tcPr>
            <w:tcW w:w="1657"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自制作或获取该信息之日起20个工作日内公开</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rPr>
                <w:color w:val="000000" w:themeColor="text1"/>
                <w:shd w:val="clear" w:color="auto" w:fill="auto"/>
                <w14:textFill>
                  <w14:solidFill>
                    <w14:schemeClr w14:val="tx1"/>
                  </w14:solidFill>
                </w14:textFill>
              </w:rPr>
            </w:pP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昭平县司法局</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、公共法律服务中心、公共法律服务工作站</w:t>
            </w:r>
          </w:p>
        </w:tc>
        <w:tc>
          <w:tcPr>
            <w:tcW w:w="22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■政府网站       ■两微一端   </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r>
              <w:rPr>
                <w:rFonts w:hint="eastAsia" w:ascii="仿宋_GB2312" w:hAnsi="微软雅黑" w:eastAsia="仿宋_GB2312" w:cs="仿宋_GB2312"/>
                <w:color w:val="000000" w:themeColor="text1"/>
                <w:sz w:val="18"/>
                <w:szCs w:val="18"/>
                <w:shd w:val="clear" w:color="auto" w:fill="auto"/>
                <w:lang w:eastAsia="zh-CN"/>
                <w14:textFill>
                  <w14:solidFill>
                    <w14:schemeClr w14:val="tx1"/>
                  </w14:solidFill>
                </w14:textFill>
              </w:rPr>
              <w:t>公共法律服务中心</w:t>
            </w: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 xml:space="preserve">    </w:t>
            </w:r>
          </w:p>
          <w:p>
            <w:pPr>
              <w:pStyle w:val="2"/>
              <w:keepNext w:val="0"/>
              <w:keepLines w:val="0"/>
              <w:widowControl/>
              <w:suppressLineNumbers w:val="0"/>
              <w:wordWrap w:val="0"/>
              <w:spacing w:before="450" w:beforeAutospacing="0" w:after="450" w:afterAutospacing="0"/>
              <w:ind w:left="0" w:right="0"/>
              <w:textAlignment w:val="center"/>
              <w:rPr>
                <w:color w:val="000000" w:themeColor="text1"/>
                <w:shd w:val="clear" w:color="auto" w:fill="auto"/>
                <w14:textFill>
                  <w14:solidFill>
                    <w14:schemeClr w14:val="tx1"/>
                  </w14:solidFill>
                </w14:textFill>
              </w:rPr>
            </w:pPr>
            <w:bookmarkStart w:id="0" w:name="_GoBack"/>
            <w:bookmarkEnd w:id="0"/>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866"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690"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color w:val="000000" w:themeColor="text1"/>
                <w:sz w:val="24"/>
                <w:szCs w:val="24"/>
                <w:shd w:val="clear" w:color="auto" w:fill="auto"/>
                <w14:textFill>
                  <w14:solidFill>
                    <w14:schemeClr w14:val="tx1"/>
                  </w14:solidFill>
                </w14:textFill>
              </w:rPr>
            </w:pPr>
          </w:p>
        </w:tc>
        <w:tc>
          <w:tcPr>
            <w:tcW w:w="529"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hemeFill="background1"/>
            <w:tcMar>
              <w:top w:w="0" w:type="dxa"/>
              <w:left w:w="105" w:type="dxa"/>
              <w:bottom w:w="0" w:type="dxa"/>
              <w:right w:w="105" w:type="dxa"/>
            </w:tcMar>
            <w:vAlign w:val="center"/>
          </w:tcPr>
          <w:p>
            <w:pPr>
              <w:pStyle w:val="2"/>
              <w:keepNext w:val="0"/>
              <w:keepLines w:val="0"/>
              <w:widowControl/>
              <w:suppressLineNumbers w:val="0"/>
              <w:wordWrap w:val="0"/>
              <w:spacing w:before="450" w:beforeAutospacing="0" w:after="450" w:afterAutospacing="0"/>
              <w:ind w:left="0" w:right="0"/>
              <w:jc w:val="center"/>
              <w:rPr>
                <w:color w:val="000000" w:themeColor="text1"/>
                <w:shd w:val="clear" w:color="auto" w:fill="auto"/>
                <w14:textFill>
                  <w14:solidFill>
                    <w14:schemeClr w14:val="tx1"/>
                  </w14:solidFill>
                </w14:textFill>
              </w:rPr>
            </w:pPr>
            <w:r>
              <w:rPr>
                <w:rFonts w:hint="default" w:ascii="仿宋_GB2312" w:hAnsi="微软雅黑" w:eastAsia="仿宋_GB2312" w:cs="仿宋_GB2312"/>
                <w:color w:val="000000" w:themeColor="text1"/>
                <w:sz w:val="18"/>
                <w:szCs w:val="18"/>
                <w:shd w:val="clear" w:color="auto" w:fill="auto"/>
                <w14:textFill>
                  <w14:solidFill>
                    <w14:schemeClr w14:val="tx1"/>
                  </w14:solidFill>
                </w14:textFill>
              </w:rPr>
              <w:t>√</w:t>
            </w:r>
          </w:p>
        </w:tc>
      </w:tr>
    </w:tbl>
    <w:p>
      <w:pPr>
        <w:rPr>
          <w:color w:val="000000" w:themeColor="text1"/>
          <w:shd w:val="clear" w:color="auto" w:fill="auto"/>
          <w14:textFill>
            <w14:solidFill>
              <w14:schemeClr w14:val="tx1"/>
            </w14:solidFill>
          </w14:textFill>
        </w:rPr>
      </w:pPr>
    </w:p>
    <w:sectPr>
      <w:pgSz w:w="16838" w:h="11906" w:orient="landscape"/>
      <w:pgMar w:top="119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0FF3"/>
    <w:rsid w:val="07B1288C"/>
    <w:rsid w:val="0A325178"/>
    <w:rsid w:val="0D6666A3"/>
    <w:rsid w:val="14CC78F9"/>
    <w:rsid w:val="18513174"/>
    <w:rsid w:val="244A0A18"/>
    <w:rsid w:val="247A0530"/>
    <w:rsid w:val="299C5CA2"/>
    <w:rsid w:val="2C424A7B"/>
    <w:rsid w:val="2F4767E5"/>
    <w:rsid w:val="2FB443AB"/>
    <w:rsid w:val="309A170D"/>
    <w:rsid w:val="35571073"/>
    <w:rsid w:val="3D5840F4"/>
    <w:rsid w:val="3D7D4D86"/>
    <w:rsid w:val="3EC2051C"/>
    <w:rsid w:val="40102AFB"/>
    <w:rsid w:val="45FB09B6"/>
    <w:rsid w:val="48F95E76"/>
    <w:rsid w:val="4B672CD4"/>
    <w:rsid w:val="4D8E450F"/>
    <w:rsid w:val="5153007F"/>
    <w:rsid w:val="51A01467"/>
    <w:rsid w:val="528D433E"/>
    <w:rsid w:val="55475D7B"/>
    <w:rsid w:val="5C93469C"/>
    <w:rsid w:val="69B040D5"/>
    <w:rsid w:val="6B6D171C"/>
    <w:rsid w:val="6C946A2A"/>
    <w:rsid w:val="6E325602"/>
    <w:rsid w:val="6EAA5DC2"/>
    <w:rsid w:val="70210B4D"/>
    <w:rsid w:val="73925929"/>
    <w:rsid w:val="7D827BDD"/>
    <w:rsid w:val="7E050985"/>
    <w:rsid w:val="7F9B2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3B3B3B"/>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more-btn-mailbox-left"/>
    <w:basedOn w:val="4"/>
    <w:qFormat/>
    <w:uiPriority w:val="0"/>
  </w:style>
  <w:style w:type="character" w:customStyle="1" w:styleId="14">
    <w:name w:val="layui-layer-tabnow"/>
    <w:basedOn w:val="4"/>
    <w:qFormat/>
    <w:uiPriority w:val="0"/>
    <w:rPr>
      <w:bdr w:val="single" w:color="CCCCCC" w:sz="6" w:space="0"/>
      <w:shd w:val="clear" w:fill="FFFFFF"/>
    </w:rPr>
  </w:style>
  <w:style w:type="character" w:customStyle="1" w:styleId="15">
    <w:name w:val="first-child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2020-11-19T09:02:52Z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