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2" w:name="_GoBack"/>
      <w:bookmarkStart w:id="0" w:name="_Toc7313"/>
      <w:bookmarkStart w:id="1" w:name="_Toc55659475"/>
      <w:r>
        <w:rPr>
          <w:rFonts w:hint="eastAsia"/>
          <w:lang w:eastAsia="zh-CN"/>
        </w:rPr>
        <w:t>河池市都安瑶族自治县</w:t>
      </w:r>
      <w:r>
        <w:rPr>
          <w:rFonts w:hint="eastAsia"/>
        </w:rPr>
        <w:t>公共法律服务领域政务公开事项标准目录</w:t>
      </w:r>
      <w:bookmarkEnd w:id="0"/>
      <w:bookmarkEnd w:id="1"/>
    </w:p>
    <w:bookmarkEnd w:id="2"/>
    <w:tbl>
      <w:tblPr>
        <w:tblStyle w:val="4"/>
        <w:tblW w:w="14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55"/>
        <w:gridCol w:w="795"/>
        <w:gridCol w:w="2145"/>
        <w:gridCol w:w="1875"/>
        <w:gridCol w:w="1455"/>
        <w:gridCol w:w="1560"/>
        <w:gridCol w:w="1140"/>
        <w:gridCol w:w="750"/>
        <w:gridCol w:w="810"/>
        <w:gridCol w:w="600"/>
        <w:gridCol w:w="675"/>
        <w:gridCol w:w="493"/>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trPr>
        <w:tc>
          <w:tcPr>
            <w:tcW w:w="608"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序号</w:t>
            </w:r>
          </w:p>
        </w:tc>
        <w:tc>
          <w:tcPr>
            <w:tcW w:w="1650"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公开事项</w:t>
            </w:r>
          </w:p>
        </w:tc>
        <w:tc>
          <w:tcPr>
            <w:tcW w:w="2145"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公开内容（要素）</w:t>
            </w:r>
          </w:p>
        </w:tc>
        <w:tc>
          <w:tcPr>
            <w:tcW w:w="1875"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公开依据</w:t>
            </w:r>
          </w:p>
        </w:tc>
        <w:tc>
          <w:tcPr>
            <w:tcW w:w="1455"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公开时限</w:t>
            </w:r>
          </w:p>
        </w:tc>
        <w:tc>
          <w:tcPr>
            <w:tcW w:w="1560"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公开渠道和载体</w:t>
            </w:r>
          </w:p>
        </w:tc>
        <w:tc>
          <w:tcPr>
            <w:tcW w:w="1140" w:type="dxa"/>
            <w:vMerge w:val="restart"/>
            <w:vAlign w:val="center"/>
          </w:tcPr>
          <w:p>
            <w:pPr>
              <w:spacing w:line="240" w:lineRule="exact"/>
              <w:jc w:val="center"/>
              <w:rPr>
                <w:rFonts w:ascii="黑体" w:hAnsi="黑体" w:eastAsia="黑体" w:cs="黑体"/>
                <w:sz w:val="22"/>
              </w:rPr>
            </w:pPr>
            <w:r>
              <w:rPr>
                <w:rFonts w:hint="eastAsia" w:ascii="黑体" w:hAnsi="黑体" w:eastAsia="黑体" w:cs="黑体"/>
                <w:sz w:val="22"/>
              </w:rPr>
              <w:t>公开主体</w:t>
            </w:r>
          </w:p>
        </w:tc>
        <w:tc>
          <w:tcPr>
            <w:tcW w:w="1560"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公开对象</w:t>
            </w:r>
          </w:p>
        </w:tc>
        <w:tc>
          <w:tcPr>
            <w:tcW w:w="1275"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公开方式</w:t>
            </w:r>
          </w:p>
        </w:tc>
        <w:tc>
          <w:tcPr>
            <w:tcW w:w="1150"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08" w:type="dxa"/>
            <w:vMerge w:val="continue"/>
            <w:vAlign w:val="center"/>
          </w:tcPr>
          <w:p>
            <w:pPr>
              <w:spacing w:line="240" w:lineRule="exact"/>
              <w:jc w:val="center"/>
              <w:rPr>
                <w:rFonts w:ascii="黑体" w:hAnsi="黑体" w:eastAsia="黑体" w:cs="黑体"/>
                <w:sz w:val="22"/>
              </w:rPr>
            </w:pPr>
          </w:p>
        </w:tc>
        <w:tc>
          <w:tcPr>
            <w:tcW w:w="855" w:type="dxa"/>
            <w:vAlign w:val="center"/>
          </w:tcPr>
          <w:p>
            <w:pPr>
              <w:spacing w:line="240" w:lineRule="exact"/>
              <w:jc w:val="center"/>
              <w:rPr>
                <w:rFonts w:ascii="黑体" w:hAnsi="黑体" w:eastAsia="黑体" w:cs="黑体"/>
                <w:sz w:val="22"/>
              </w:rPr>
            </w:pPr>
            <w:r>
              <w:rPr>
                <w:rFonts w:hint="eastAsia" w:ascii="黑体" w:hAnsi="黑体" w:eastAsia="黑体" w:cs="黑体"/>
                <w:sz w:val="22"/>
              </w:rPr>
              <w:t>一级事项</w:t>
            </w:r>
          </w:p>
        </w:tc>
        <w:tc>
          <w:tcPr>
            <w:tcW w:w="795" w:type="dxa"/>
            <w:vAlign w:val="center"/>
          </w:tcPr>
          <w:p>
            <w:pPr>
              <w:spacing w:line="240" w:lineRule="exact"/>
              <w:jc w:val="center"/>
              <w:rPr>
                <w:rFonts w:ascii="黑体" w:hAnsi="黑体" w:eastAsia="黑体" w:cs="黑体"/>
                <w:sz w:val="22"/>
              </w:rPr>
            </w:pPr>
            <w:r>
              <w:rPr>
                <w:rFonts w:hint="eastAsia" w:ascii="黑体" w:hAnsi="黑体" w:eastAsia="黑体" w:cs="黑体"/>
                <w:sz w:val="22"/>
              </w:rPr>
              <w:t>二级事项</w:t>
            </w:r>
          </w:p>
        </w:tc>
        <w:tc>
          <w:tcPr>
            <w:tcW w:w="2145" w:type="dxa"/>
            <w:vMerge w:val="continue"/>
            <w:vAlign w:val="center"/>
          </w:tcPr>
          <w:p>
            <w:pPr>
              <w:spacing w:line="240" w:lineRule="exact"/>
              <w:jc w:val="center"/>
              <w:rPr>
                <w:rFonts w:ascii="黑体" w:hAnsi="黑体" w:eastAsia="黑体" w:cs="黑体"/>
                <w:sz w:val="22"/>
              </w:rPr>
            </w:pPr>
          </w:p>
        </w:tc>
        <w:tc>
          <w:tcPr>
            <w:tcW w:w="1875" w:type="dxa"/>
            <w:vMerge w:val="continue"/>
            <w:vAlign w:val="center"/>
          </w:tcPr>
          <w:p>
            <w:pPr>
              <w:spacing w:line="240" w:lineRule="exact"/>
              <w:jc w:val="center"/>
              <w:rPr>
                <w:rFonts w:ascii="黑体" w:hAnsi="黑体" w:eastAsia="黑体" w:cs="黑体"/>
                <w:sz w:val="22"/>
              </w:rPr>
            </w:pPr>
          </w:p>
        </w:tc>
        <w:tc>
          <w:tcPr>
            <w:tcW w:w="1455" w:type="dxa"/>
            <w:vMerge w:val="continue"/>
            <w:vAlign w:val="center"/>
          </w:tcPr>
          <w:p>
            <w:pPr>
              <w:spacing w:line="240" w:lineRule="exact"/>
              <w:jc w:val="center"/>
              <w:rPr>
                <w:rFonts w:ascii="黑体" w:hAnsi="黑体" w:eastAsia="黑体" w:cs="黑体"/>
                <w:sz w:val="22"/>
              </w:rPr>
            </w:pPr>
          </w:p>
        </w:tc>
        <w:tc>
          <w:tcPr>
            <w:tcW w:w="1560" w:type="dxa"/>
            <w:vMerge w:val="continue"/>
            <w:vAlign w:val="center"/>
          </w:tcPr>
          <w:p>
            <w:pPr>
              <w:spacing w:line="240" w:lineRule="exact"/>
              <w:jc w:val="center"/>
              <w:rPr>
                <w:rFonts w:ascii="黑体" w:hAnsi="黑体" w:eastAsia="黑体" w:cs="黑体"/>
                <w:sz w:val="22"/>
              </w:rPr>
            </w:pPr>
          </w:p>
        </w:tc>
        <w:tc>
          <w:tcPr>
            <w:tcW w:w="1140" w:type="dxa"/>
            <w:vMerge w:val="continue"/>
            <w:vAlign w:val="center"/>
          </w:tcPr>
          <w:p>
            <w:pPr>
              <w:spacing w:line="240" w:lineRule="exact"/>
              <w:jc w:val="center"/>
              <w:rPr>
                <w:rFonts w:ascii="黑体" w:hAnsi="黑体" w:eastAsia="黑体" w:cs="黑体"/>
                <w:sz w:val="22"/>
              </w:rPr>
            </w:pPr>
          </w:p>
        </w:tc>
        <w:tc>
          <w:tcPr>
            <w:tcW w:w="750" w:type="dxa"/>
            <w:vAlign w:val="center"/>
          </w:tcPr>
          <w:p>
            <w:pPr>
              <w:spacing w:line="240" w:lineRule="exact"/>
              <w:jc w:val="center"/>
              <w:rPr>
                <w:rFonts w:ascii="黑体" w:hAnsi="黑体" w:eastAsia="黑体" w:cs="黑体"/>
                <w:sz w:val="22"/>
              </w:rPr>
            </w:pPr>
            <w:r>
              <w:rPr>
                <w:rFonts w:hint="eastAsia" w:ascii="黑体" w:hAnsi="黑体" w:eastAsia="黑体" w:cs="黑体"/>
                <w:sz w:val="22"/>
              </w:rPr>
              <w:t>全社会</w:t>
            </w:r>
          </w:p>
        </w:tc>
        <w:tc>
          <w:tcPr>
            <w:tcW w:w="810" w:type="dxa"/>
            <w:vAlign w:val="center"/>
          </w:tcPr>
          <w:p>
            <w:pPr>
              <w:spacing w:line="240" w:lineRule="exact"/>
              <w:jc w:val="center"/>
              <w:rPr>
                <w:rFonts w:ascii="黑体" w:hAnsi="黑体" w:eastAsia="黑体" w:cs="黑体"/>
                <w:sz w:val="22"/>
              </w:rPr>
            </w:pPr>
            <w:r>
              <w:rPr>
                <w:rFonts w:hint="eastAsia" w:ascii="黑体" w:hAnsi="黑体" w:eastAsia="黑体" w:cs="黑体"/>
                <w:sz w:val="22"/>
              </w:rPr>
              <w:t>特定群众</w:t>
            </w:r>
          </w:p>
        </w:tc>
        <w:tc>
          <w:tcPr>
            <w:tcW w:w="600" w:type="dxa"/>
            <w:vAlign w:val="center"/>
          </w:tcPr>
          <w:p>
            <w:pPr>
              <w:spacing w:line="240" w:lineRule="exact"/>
              <w:jc w:val="center"/>
              <w:rPr>
                <w:rFonts w:ascii="黑体" w:hAnsi="黑体" w:eastAsia="黑体" w:cs="黑体"/>
                <w:sz w:val="22"/>
              </w:rPr>
            </w:pPr>
            <w:r>
              <w:rPr>
                <w:rFonts w:hint="eastAsia" w:ascii="黑体" w:hAnsi="黑体" w:eastAsia="黑体" w:cs="黑体"/>
                <w:sz w:val="22"/>
              </w:rPr>
              <w:t>主动</w:t>
            </w:r>
          </w:p>
        </w:tc>
        <w:tc>
          <w:tcPr>
            <w:tcW w:w="675" w:type="dxa"/>
            <w:vAlign w:val="center"/>
          </w:tcPr>
          <w:p>
            <w:pPr>
              <w:spacing w:line="240" w:lineRule="exact"/>
              <w:jc w:val="center"/>
              <w:rPr>
                <w:rFonts w:ascii="黑体" w:hAnsi="黑体" w:eastAsia="黑体" w:cs="黑体"/>
                <w:sz w:val="22"/>
              </w:rPr>
            </w:pPr>
            <w:r>
              <w:rPr>
                <w:rFonts w:hint="eastAsia" w:ascii="黑体" w:hAnsi="黑体" w:eastAsia="黑体" w:cs="黑体"/>
                <w:sz w:val="22"/>
              </w:rPr>
              <w:t>依申请公开</w:t>
            </w:r>
          </w:p>
        </w:tc>
        <w:tc>
          <w:tcPr>
            <w:tcW w:w="493" w:type="dxa"/>
            <w:vAlign w:val="center"/>
          </w:tcPr>
          <w:p>
            <w:pPr>
              <w:spacing w:line="240" w:lineRule="exact"/>
              <w:jc w:val="center"/>
              <w:rPr>
                <w:rFonts w:ascii="黑体" w:hAnsi="黑体" w:eastAsia="黑体" w:cs="黑体"/>
                <w:sz w:val="22"/>
              </w:rPr>
            </w:pPr>
            <w:r>
              <w:rPr>
                <w:rFonts w:hint="eastAsia" w:ascii="黑体" w:hAnsi="黑体" w:eastAsia="黑体" w:cs="黑体"/>
                <w:sz w:val="22"/>
              </w:rPr>
              <w:t>县级</w:t>
            </w:r>
          </w:p>
        </w:tc>
        <w:tc>
          <w:tcPr>
            <w:tcW w:w="657" w:type="dxa"/>
            <w:vAlign w:val="center"/>
          </w:tcPr>
          <w:p>
            <w:pPr>
              <w:spacing w:line="240" w:lineRule="exact"/>
              <w:jc w:val="center"/>
              <w:rPr>
                <w:rFonts w:ascii="黑体" w:hAnsi="黑体" w:eastAsia="黑体" w:cs="黑体"/>
                <w:sz w:val="22"/>
              </w:rPr>
            </w:pPr>
            <w:r>
              <w:rPr>
                <w:rFonts w:hint="eastAsia" w:ascii="黑体" w:hAnsi="黑体" w:eastAsia="黑体" w:cs="黑体"/>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法律知识普及服务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法律法规资讯；普法动态资讯；普法讲师团信息等</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《中共中央、国务院转发&lt;中央宣传部、司法部关于在公民中开展</w:t>
            </w: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教育的第七个五年规划（2016－2020年）&gt;》、自治区“七五”普法规划</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■入户/现场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司法局、乡（镇）人民政府</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推广法治文化服务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辖区内法治文化阵地信息；法治文化作品、产品</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《中共中央、国务院转发&lt;中央宣传部、司法部关于在公民中开展</w:t>
            </w: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教育的第七个五年规划（2016－2020年）&gt;》、自治区“七五”普法规划</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■入户/现场</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司法局、乡（镇）人民政府</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对在</w:t>
            </w: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教育工作中做出显著成绩的单位和个人进行表彰奖励</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评选表彰通知；先进集体和个人申报表（空白表）；拟表彰的先进集体先进个人名单；表彰决定</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《中共中央、国务院转发&lt;中央宣传部、司法部关于在公民中开展</w:t>
            </w: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教育的第七个五年规划（2016－2020年）&gt;》、自治区“七五”普法规划</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律师</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对没有取得律师执业证书以律师名义从事法律业务行为的处罚</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行政处罚决定或行政处罚决定书</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《律师法》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公证</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公证员一般任职执业审核、考核任职执业审核</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审查（考核）意见</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《公证法》、《公证员执业管理办法》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p>
        </w:tc>
        <w:tc>
          <w:tcPr>
            <w:tcW w:w="81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给予法律援助决定书；不予法律援助决定书；指派通知书</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法律援助中心</w:t>
            </w:r>
          </w:p>
        </w:tc>
        <w:tc>
          <w:tcPr>
            <w:tcW w:w="750" w:type="dxa"/>
            <w:vAlign w:val="center"/>
          </w:tcPr>
          <w:p>
            <w:pPr>
              <w:spacing w:line="200" w:lineRule="exact"/>
              <w:jc w:val="center"/>
              <w:rPr>
                <w:rFonts w:ascii="仿宋_GB2312" w:hAnsi="仿宋_GB2312" w:eastAsia="仿宋_GB2312" w:cs="仿宋_GB2312"/>
                <w:sz w:val="18"/>
                <w:szCs w:val="18"/>
              </w:rPr>
            </w:pPr>
          </w:p>
        </w:tc>
        <w:tc>
          <w:tcPr>
            <w:tcW w:w="81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法律援助申请人、受指派的律师事务所或其他组织等</w:t>
            </w: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法律援助办案人员办案补贴的审核发放</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案件补贴审核发放表</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《法律援助条例》、《广西壮族自治区法律援助条例》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法律援助中心</w:t>
            </w:r>
          </w:p>
        </w:tc>
        <w:tc>
          <w:tcPr>
            <w:tcW w:w="750" w:type="dxa"/>
            <w:vAlign w:val="center"/>
          </w:tcPr>
          <w:p>
            <w:pPr>
              <w:spacing w:line="200" w:lineRule="exact"/>
              <w:jc w:val="center"/>
              <w:rPr>
                <w:rFonts w:ascii="仿宋_GB2312" w:hAnsi="仿宋_GB2312" w:eastAsia="仿宋_GB2312" w:cs="仿宋_GB2312"/>
                <w:sz w:val="18"/>
                <w:szCs w:val="18"/>
              </w:rPr>
            </w:pPr>
          </w:p>
        </w:tc>
        <w:tc>
          <w:tcPr>
            <w:tcW w:w="81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600" w:type="dxa"/>
            <w:vAlign w:val="center"/>
          </w:tcPr>
          <w:p>
            <w:pPr>
              <w:spacing w:line="200" w:lineRule="exact"/>
              <w:jc w:val="center"/>
              <w:rPr>
                <w:rFonts w:ascii="仿宋_GB2312" w:hAnsi="仿宋_GB2312" w:eastAsia="仿宋_GB2312" w:cs="仿宋_GB2312"/>
                <w:sz w:val="18"/>
                <w:szCs w:val="18"/>
              </w:rPr>
            </w:pPr>
          </w:p>
        </w:tc>
        <w:tc>
          <w:tcPr>
            <w:tcW w:w="6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对法律援助机构不予援助决定异议的审查</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处理决定书</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《法律援助条例》、《广西壮族自治区法律援助条例》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p>
        </w:tc>
        <w:tc>
          <w:tcPr>
            <w:tcW w:w="81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600" w:type="dxa"/>
            <w:vAlign w:val="center"/>
          </w:tcPr>
          <w:p>
            <w:pPr>
              <w:spacing w:line="200" w:lineRule="exact"/>
              <w:jc w:val="center"/>
              <w:rPr>
                <w:rFonts w:ascii="仿宋_GB2312" w:hAnsi="仿宋_GB2312" w:eastAsia="仿宋_GB2312" w:cs="仿宋_GB2312"/>
                <w:sz w:val="18"/>
                <w:szCs w:val="18"/>
              </w:rPr>
            </w:pPr>
          </w:p>
        </w:tc>
        <w:tc>
          <w:tcPr>
            <w:tcW w:w="6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noWrap/>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对在法律援助工作中作出突出贡献的组织和个人进行表彰奖励</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评选表彰通知；先进集体和个人申报表（空白表）；拟表彰的先进集体先进个人名单；表彰决定</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《法律援助条例》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法律</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基层法律服务工作者执业核准许可</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不予受理通知书</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《基层法律服务工作者管理办法》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p>
        </w:tc>
        <w:tc>
          <w:tcPr>
            <w:tcW w:w="81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申请人</w:t>
            </w: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法律</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对基层法律服务所、基层法律服务工作者违法违规行为的处罚</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行政处罚决定或行政处罚决定书</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《基层法律服务所管理办法》、《基层法律服务工作者管理办法》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法律</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对基层法律服务所、基层法律服务工作者进行表彰奖励</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评选表彰通知；先进集体和个人申报表（空白表）；拟表彰的先进集体先进个人名单；表彰决定</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《基层法律服务所管理办法》、《基层法律服务工作者管理办法》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人民调解</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对有突出贡献的人民调解委员会和人民调解员按照国家规定给予表彰奖励</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评选表彰通知；先进集体和个人申报表（空白表）；拟表彰的先进集体先进个人名单；表彰决定</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《人民调解法》</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查询</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法律法规和案例检索服务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法律法规库网址或链接；典型案例库网址或链接</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《中共中央、国务院转发&lt;中央宣传部、司法部关于在公民中开展</w:t>
            </w:r>
            <w:r>
              <w:rPr>
                <w:rFonts w:hint="eastAsia" w:ascii="仿宋_GB2312" w:hAnsi="仿宋_GB2312" w:eastAsia="仿宋_GB2312" w:cs="仿宋_GB2312"/>
                <w:sz w:val="18"/>
                <w:szCs w:val="18"/>
                <w:lang w:eastAsia="zh-CN"/>
              </w:rPr>
              <w:t>法制宣传</w:t>
            </w:r>
            <w:r>
              <w:rPr>
                <w:rFonts w:hint="eastAsia" w:ascii="仿宋_GB2312" w:hAnsi="仿宋_GB2312" w:eastAsia="仿宋_GB2312" w:cs="仿宋_GB2312"/>
                <w:sz w:val="18"/>
                <w:szCs w:val="18"/>
              </w:rPr>
              <w:t>教育的第七个五年规划（2016－2020年）&gt;》自治区“七五”普法规划</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■两微一端</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查询</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法律服务机构、人员信息查询服务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辖区内的律师、公证、基层法律服务、人民调解等法律服务机构和人员有关基本信息、从业信息和信用信息等</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法律咨询</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公共法律服务实体平台、热线平台、网络平台咨询服务</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公共法律服务实体、热线、网络平台法律咨询服务指南</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司法局、公共法律服务中心、公共法律服务工作站</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608"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公共法律服务平台</w:t>
            </w:r>
          </w:p>
        </w:tc>
        <w:tc>
          <w:tcPr>
            <w:tcW w:w="79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公共法律服务实体、热线、网络平台信息</w:t>
            </w:r>
          </w:p>
        </w:tc>
        <w:tc>
          <w:tcPr>
            <w:tcW w:w="214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公共法律服务平台建设相关规划；公共法律服务中心、工作站具体地址；12348公共法律服务热线号码；三大平台提供的公共法律服务事项清单及服务指南</w:t>
            </w:r>
          </w:p>
        </w:tc>
        <w:tc>
          <w:tcPr>
            <w:tcW w:w="187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455"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自制作或获取该信息之日起20个工作日内公开</w:t>
            </w:r>
          </w:p>
        </w:tc>
        <w:tc>
          <w:tcPr>
            <w:tcW w:w="1560" w:type="dxa"/>
            <w:vAlign w:val="center"/>
          </w:tcPr>
          <w:p>
            <w:pPr>
              <w:spacing w:line="2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■两微一端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■纸质媒体</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■公示栏</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■其他</w:t>
            </w:r>
          </w:p>
        </w:tc>
        <w:tc>
          <w:tcPr>
            <w:tcW w:w="114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司法局、公共法律服务中心、公共法律服务工作站</w:t>
            </w:r>
          </w:p>
        </w:tc>
        <w:tc>
          <w:tcPr>
            <w:tcW w:w="75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810" w:type="dxa"/>
            <w:vAlign w:val="center"/>
          </w:tcPr>
          <w:p>
            <w:pPr>
              <w:spacing w:line="200" w:lineRule="exact"/>
              <w:jc w:val="center"/>
              <w:rPr>
                <w:rFonts w:ascii="仿宋_GB2312" w:hAnsi="仿宋_GB2312" w:eastAsia="仿宋_GB2312" w:cs="仿宋_GB2312"/>
                <w:sz w:val="18"/>
                <w:szCs w:val="18"/>
              </w:rPr>
            </w:pPr>
          </w:p>
        </w:tc>
        <w:tc>
          <w:tcPr>
            <w:tcW w:w="600"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75" w:type="dxa"/>
            <w:vAlign w:val="center"/>
          </w:tcPr>
          <w:p>
            <w:pPr>
              <w:spacing w:line="200" w:lineRule="exact"/>
              <w:jc w:val="center"/>
              <w:rPr>
                <w:rFonts w:ascii="仿宋_GB2312" w:hAnsi="仿宋_GB2312" w:eastAsia="仿宋_GB2312" w:cs="仿宋_GB2312"/>
                <w:sz w:val="18"/>
                <w:szCs w:val="18"/>
              </w:rPr>
            </w:pPr>
          </w:p>
        </w:tc>
        <w:tc>
          <w:tcPr>
            <w:tcW w:w="493"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57" w:type="dxa"/>
            <w:vAlign w:val="center"/>
          </w:tcPr>
          <w:p>
            <w:pPr>
              <w:spacing w:line="2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rPr>
          <w:rFonts w:ascii="方正小标宋简体" w:hAnsi="方正小标宋简体" w:eastAsia="方正小标宋简体" w:cs="方正小标宋简体"/>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4D232552"/>
    <w:rsid w:val="1154254B"/>
    <w:rsid w:val="4D232552"/>
    <w:rsid w:val="6088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2256</Words>
  <Characters>2309</Characters>
  <Lines>0</Lines>
  <Paragraphs>0</Paragraphs>
  <TotalTime>1</TotalTime>
  <ScaleCrop>false</ScaleCrop>
  <LinksUpToDate>false</LinksUpToDate>
  <CharactersWithSpaces>2323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2020-11-30T04:04:00Z</dcterms:created>
  <dc:creator>Administrator</dc:creator>
  <cp:lastModifiedBy>新闻中心</cp:lastModifiedBy>
  <dcterms:modified xsi:type="dcterms:W3CDTF">2022-07-15T02:10:12Z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E0D4E760F06042E386DC407BB1057292</vt:lpwstr>
  </property>
</Properties>
</file>