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lang w:eastAsia="zh-CN"/>
        </w:rPr>
        <w:t>河池市宜州区</w:t>
      </w:r>
      <w:r>
        <w:rPr>
          <w:rFonts w:hint="eastAsia" w:ascii="方正小标宋_GBK" w:hAnsi="方正小标宋_GBK" w:eastAsia="方正小标宋_GBK"/>
          <w:b w:val="0"/>
          <w:bCs w:val="0"/>
          <w:sz w:val="30"/>
        </w:rPr>
        <w:t>公共法律服务领域基层政务公开标准目录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9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3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《中共中央、国务院转发&lt;中央宣传部、司法部关于在公民中开展法制宣传教育的第七个五年规划（2016－2020年）&gt;》、各省“七五”普法规划</w:t>
            </w:r>
          </w:p>
        </w:tc>
        <w:tc>
          <w:tcPr>
            <w:tcW w:w="180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FF0000"/>
                <w:sz w:val="18"/>
                <w:szCs w:val="18"/>
              </w:rPr>
              <w:t xml:space="preserve">■精准推送 </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FF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    ■广播电视</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1" w:name="_GoBack"/>
            <w:bookmarkEnd w:id="1"/>
            <w:r>
              <w:rPr>
                <w:rFonts w:hint="eastAsia" w:ascii="仿宋_GB2312" w:hAnsi="宋体" w:eastAsia="仿宋_GB2312"/>
                <w:color w:val="000000"/>
                <w:sz w:val="18"/>
                <w:szCs w:val="18"/>
              </w:rPr>
              <w:t>教育的第七个五年规划（2016－2020年）&gt;》《xx省“七五”普法规划》</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■两微一端</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7B1D3843"/>
    <w:rsid w:val="210A51B4"/>
    <w:rsid w:val="2B9951FF"/>
    <w:rsid w:val="5C3E700F"/>
    <w:rsid w:val="75E21AE4"/>
    <w:rsid w:val="7ABF1149"/>
    <w:rsid w:val="7B1D3843"/>
    <w:rsid w:val="7E6D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2245</Words>
  <Characters>2295</Characters>
  <Lines>0</Lines>
  <Paragraphs>0</Paragraphs>
  <TotalTime>4</TotalTime>
  <ScaleCrop>false</ScaleCrop>
  <LinksUpToDate>false</LinksUpToDate>
  <CharactersWithSpaces>2398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2020-11-25T00:32:00Z</dcterms:created>
  <dc:creator>freedom</dc:creator>
  <cp:lastModifiedBy>卢映村</cp:lastModifiedBy>
  <dcterms:modified xsi:type="dcterms:W3CDTF">2022-07-12T09:43:39Z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D3961636C57D426AA8D0EA5FEBA5F607</vt:lpwstr>
  </property>
</Properties>
</file>