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z w:val="44"/>
          <w:szCs w:val="44"/>
        </w:rPr>
      </w:pPr>
      <w:r>
        <w:rPr>
          <w:rFonts w:hint="eastAsia" w:ascii="方正小标宋简体" w:eastAsia="方正小标宋简体"/>
          <w:b/>
          <w:bCs/>
          <w:sz w:val="44"/>
          <w:szCs w:val="44"/>
          <w:lang w:eastAsia="zh-CN"/>
        </w:rPr>
        <w:t>河池市罗城仫佬族自治县</w:t>
      </w:r>
      <w:r>
        <w:rPr>
          <w:rFonts w:hint="eastAsia" w:ascii="方正小标宋简体" w:eastAsia="方正小标宋简体"/>
          <w:b/>
          <w:bCs/>
          <w:sz w:val="44"/>
          <w:szCs w:val="44"/>
        </w:rPr>
        <w:t>公共法律服务基层政务公开事项标准目录</w:t>
      </w:r>
    </w:p>
    <w:tbl>
      <w:tblPr>
        <w:tblStyle w:val="2"/>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857"/>
        <w:gridCol w:w="1549"/>
        <w:gridCol w:w="2268"/>
        <w:gridCol w:w="1701"/>
        <w:gridCol w:w="1276"/>
        <w:gridCol w:w="850"/>
        <w:gridCol w:w="1701"/>
        <w:gridCol w:w="721"/>
        <w:gridCol w:w="904"/>
        <w:gridCol w:w="570"/>
        <w:gridCol w:w="570"/>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9" w:type="dxa"/>
            <w:vMerge w:val="restart"/>
            <w:shd w:val="clear" w:color="auto" w:fill="auto"/>
            <w:vAlign w:val="center"/>
          </w:tcPr>
          <w:p>
            <w:pPr>
              <w:widowControl/>
              <w:jc w:val="center"/>
              <w:rPr>
                <w:rFonts w:ascii="Times New Roman" w:hAnsi="Times New Roman"/>
                <w:color w:val="000000"/>
                <w:kern w:val="0"/>
                <w:sz w:val="23"/>
                <w:szCs w:val="23"/>
              </w:rPr>
            </w:pPr>
            <w:r>
              <w:rPr>
                <w:rFonts w:ascii="Times New Roman" w:hAnsi="Times New Roman"/>
                <w:color w:val="000000"/>
                <w:kern w:val="0"/>
                <w:sz w:val="23"/>
                <w:szCs w:val="23"/>
              </w:rPr>
              <w:t>序号</w:t>
            </w:r>
          </w:p>
        </w:tc>
        <w:tc>
          <w:tcPr>
            <w:tcW w:w="2406" w:type="dxa"/>
            <w:gridSpan w:val="2"/>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公开事项</w:t>
            </w:r>
          </w:p>
        </w:tc>
        <w:tc>
          <w:tcPr>
            <w:tcW w:w="2268" w:type="dxa"/>
            <w:vMerge w:val="restart"/>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公开内容</w:t>
            </w:r>
            <w:r>
              <w:rPr>
                <w:rFonts w:hint="eastAsia" w:ascii="黑体" w:hAnsi="黑体" w:eastAsia="黑体" w:cs="宋体"/>
                <w:color w:val="000000"/>
                <w:kern w:val="0"/>
                <w:sz w:val="23"/>
                <w:szCs w:val="23"/>
              </w:rPr>
              <w:br w:type="textWrapping"/>
            </w:r>
            <w:r>
              <w:rPr>
                <w:rFonts w:hint="eastAsia" w:ascii="黑体" w:hAnsi="黑体" w:eastAsia="黑体" w:cs="宋体"/>
                <w:color w:val="000000"/>
                <w:kern w:val="0"/>
                <w:sz w:val="23"/>
                <w:szCs w:val="23"/>
              </w:rPr>
              <w:t>（要素）</w:t>
            </w:r>
          </w:p>
        </w:tc>
        <w:tc>
          <w:tcPr>
            <w:tcW w:w="1701" w:type="dxa"/>
            <w:vMerge w:val="restart"/>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公开依据</w:t>
            </w:r>
          </w:p>
        </w:tc>
        <w:tc>
          <w:tcPr>
            <w:tcW w:w="1276" w:type="dxa"/>
            <w:vMerge w:val="restart"/>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公开时限</w:t>
            </w:r>
          </w:p>
        </w:tc>
        <w:tc>
          <w:tcPr>
            <w:tcW w:w="850" w:type="dxa"/>
            <w:vMerge w:val="restart"/>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公开主体</w:t>
            </w:r>
          </w:p>
        </w:tc>
        <w:tc>
          <w:tcPr>
            <w:tcW w:w="1701" w:type="dxa"/>
            <w:vMerge w:val="restart"/>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公开渠道和载体</w:t>
            </w:r>
          </w:p>
        </w:tc>
        <w:tc>
          <w:tcPr>
            <w:tcW w:w="1625" w:type="dxa"/>
            <w:gridSpan w:val="2"/>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公开对象</w:t>
            </w:r>
          </w:p>
        </w:tc>
        <w:tc>
          <w:tcPr>
            <w:tcW w:w="1140" w:type="dxa"/>
            <w:gridSpan w:val="2"/>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公开方式</w:t>
            </w:r>
          </w:p>
        </w:tc>
        <w:tc>
          <w:tcPr>
            <w:tcW w:w="1140" w:type="dxa"/>
            <w:gridSpan w:val="2"/>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9" w:type="dxa"/>
            <w:vMerge w:val="continue"/>
            <w:vAlign w:val="center"/>
          </w:tcPr>
          <w:p>
            <w:pPr>
              <w:widowControl/>
              <w:jc w:val="left"/>
              <w:rPr>
                <w:rFonts w:ascii="Times New Roman" w:hAnsi="Times New Roman"/>
                <w:color w:val="000000"/>
                <w:kern w:val="0"/>
                <w:sz w:val="23"/>
                <w:szCs w:val="23"/>
              </w:rPr>
            </w:pPr>
          </w:p>
        </w:tc>
        <w:tc>
          <w:tcPr>
            <w:tcW w:w="857" w:type="dxa"/>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一级事项</w:t>
            </w:r>
          </w:p>
        </w:tc>
        <w:tc>
          <w:tcPr>
            <w:tcW w:w="1549" w:type="dxa"/>
            <w:shd w:val="clear" w:color="auto" w:fill="auto"/>
            <w:vAlign w:val="center"/>
          </w:tcPr>
          <w:p>
            <w:pPr>
              <w:widowControl/>
              <w:jc w:val="center"/>
              <w:rPr>
                <w:rFonts w:ascii="黑体" w:hAnsi="黑体" w:eastAsia="黑体" w:cs="宋体"/>
                <w:color w:val="000000"/>
                <w:kern w:val="0"/>
                <w:sz w:val="23"/>
                <w:szCs w:val="23"/>
              </w:rPr>
            </w:pPr>
            <w:r>
              <w:rPr>
                <w:rFonts w:hint="eastAsia" w:ascii="黑体" w:hAnsi="黑体" w:eastAsia="黑体" w:cs="宋体"/>
                <w:color w:val="000000"/>
                <w:kern w:val="0"/>
                <w:sz w:val="23"/>
                <w:szCs w:val="23"/>
              </w:rPr>
              <w:t>二级事项</w:t>
            </w:r>
          </w:p>
        </w:tc>
        <w:tc>
          <w:tcPr>
            <w:tcW w:w="2268" w:type="dxa"/>
            <w:vMerge w:val="continue"/>
            <w:vAlign w:val="center"/>
          </w:tcPr>
          <w:p>
            <w:pPr>
              <w:widowControl/>
              <w:jc w:val="left"/>
              <w:rPr>
                <w:rFonts w:ascii="黑体" w:hAnsi="黑体" w:eastAsia="黑体" w:cs="宋体"/>
                <w:color w:val="000000"/>
                <w:kern w:val="0"/>
                <w:sz w:val="23"/>
                <w:szCs w:val="23"/>
              </w:rPr>
            </w:pPr>
          </w:p>
        </w:tc>
        <w:tc>
          <w:tcPr>
            <w:tcW w:w="1701" w:type="dxa"/>
            <w:vMerge w:val="continue"/>
            <w:vAlign w:val="center"/>
          </w:tcPr>
          <w:p>
            <w:pPr>
              <w:widowControl/>
              <w:jc w:val="left"/>
              <w:rPr>
                <w:rFonts w:ascii="黑体" w:hAnsi="黑体" w:eastAsia="黑体" w:cs="宋体"/>
                <w:color w:val="000000"/>
                <w:kern w:val="0"/>
                <w:sz w:val="23"/>
                <w:szCs w:val="23"/>
              </w:rPr>
            </w:pPr>
          </w:p>
        </w:tc>
        <w:tc>
          <w:tcPr>
            <w:tcW w:w="1276" w:type="dxa"/>
            <w:vMerge w:val="continue"/>
            <w:vAlign w:val="center"/>
          </w:tcPr>
          <w:p>
            <w:pPr>
              <w:widowControl/>
              <w:jc w:val="left"/>
              <w:rPr>
                <w:rFonts w:ascii="黑体" w:hAnsi="黑体" w:eastAsia="黑体" w:cs="宋体"/>
                <w:color w:val="000000"/>
                <w:kern w:val="0"/>
                <w:sz w:val="23"/>
                <w:szCs w:val="23"/>
              </w:rPr>
            </w:pPr>
          </w:p>
        </w:tc>
        <w:tc>
          <w:tcPr>
            <w:tcW w:w="850" w:type="dxa"/>
            <w:vMerge w:val="continue"/>
            <w:vAlign w:val="center"/>
          </w:tcPr>
          <w:p>
            <w:pPr>
              <w:widowControl/>
              <w:jc w:val="left"/>
              <w:rPr>
                <w:rFonts w:ascii="黑体" w:hAnsi="黑体" w:eastAsia="黑体" w:cs="宋体"/>
                <w:color w:val="000000"/>
                <w:kern w:val="0"/>
                <w:sz w:val="23"/>
                <w:szCs w:val="23"/>
              </w:rPr>
            </w:pPr>
          </w:p>
        </w:tc>
        <w:tc>
          <w:tcPr>
            <w:tcW w:w="1701" w:type="dxa"/>
            <w:vMerge w:val="continue"/>
            <w:vAlign w:val="center"/>
          </w:tcPr>
          <w:p>
            <w:pPr>
              <w:widowControl/>
              <w:jc w:val="left"/>
              <w:rPr>
                <w:rFonts w:ascii="黑体" w:hAnsi="黑体" w:eastAsia="黑体" w:cs="宋体"/>
                <w:color w:val="000000"/>
                <w:kern w:val="0"/>
                <w:sz w:val="23"/>
                <w:szCs w:val="23"/>
              </w:rPr>
            </w:pPr>
          </w:p>
        </w:tc>
        <w:tc>
          <w:tcPr>
            <w:tcW w:w="721" w:type="dxa"/>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全社会</w:t>
            </w:r>
          </w:p>
        </w:tc>
        <w:tc>
          <w:tcPr>
            <w:tcW w:w="904" w:type="dxa"/>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特定群众</w:t>
            </w:r>
          </w:p>
        </w:tc>
        <w:tc>
          <w:tcPr>
            <w:tcW w:w="570" w:type="dxa"/>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主动</w:t>
            </w:r>
          </w:p>
        </w:tc>
        <w:tc>
          <w:tcPr>
            <w:tcW w:w="570" w:type="dxa"/>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依申请公开</w:t>
            </w:r>
          </w:p>
        </w:tc>
        <w:tc>
          <w:tcPr>
            <w:tcW w:w="570" w:type="dxa"/>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县级</w:t>
            </w:r>
          </w:p>
        </w:tc>
        <w:tc>
          <w:tcPr>
            <w:tcW w:w="570" w:type="dxa"/>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9"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57"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法制宣传教育</w:t>
            </w:r>
          </w:p>
        </w:tc>
        <w:tc>
          <w:tcPr>
            <w:tcW w:w="1549"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法律知识普及服务</w:t>
            </w:r>
          </w:p>
        </w:tc>
        <w:tc>
          <w:tcPr>
            <w:tcW w:w="2268"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法律法规资讯；普法动态资讯；普法讲师团信息等</w:t>
            </w:r>
          </w:p>
        </w:tc>
        <w:tc>
          <w:tcPr>
            <w:tcW w:w="1701"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《中共中央、国务院转发&lt;中央宣传部、司法部关于在公民中开展法制宣传教育的第七个五年规划（2016－2020年）&gt;》、各省“七五”普法规划</w:t>
            </w:r>
          </w:p>
        </w:tc>
        <w:tc>
          <w:tcPr>
            <w:tcW w:w="1276"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■罗城仫佬族自治县人民政府门户网站</w:t>
            </w:r>
            <w:r>
              <w:rPr>
                <w:rFonts w:hint="eastAsia" w:ascii="宋体" w:hAnsi="宋体" w:cs="宋体"/>
                <w:kern w:val="0"/>
                <w:sz w:val="20"/>
                <w:szCs w:val="20"/>
              </w:rPr>
              <w:br w:type="textWrapping"/>
            </w:r>
            <w:r>
              <w:rPr>
                <w:rFonts w:hint="eastAsia" w:ascii="宋体" w:hAnsi="宋体" w:cs="宋体"/>
                <w:kern w:val="0"/>
                <w:sz w:val="20"/>
                <w:szCs w:val="20"/>
              </w:rPr>
              <w:t>■罗城仫佬族自治县政务服务中心</w:t>
            </w:r>
            <w:r>
              <w:rPr>
                <w:rFonts w:hint="eastAsia" w:ascii="宋体" w:hAnsi="宋体" w:cs="宋体"/>
                <w:kern w:val="0"/>
                <w:sz w:val="20"/>
                <w:szCs w:val="20"/>
              </w:rPr>
              <w:br w:type="textWrapping"/>
            </w:r>
            <w:r>
              <w:rPr>
                <w:rFonts w:hint="eastAsia" w:ascii="宋体" w:hAnsi="宋体" w:cs="宋体"/>
                <w:kern w:val="0"/>
                <w:sz w:val="20"/>
                <w:szCs w:val="20"/>
              </w:rPr>
              <w:t>■公示栏</w:t>
            </w:r>
            <w:r>
              <w:rPr>
                <w:rFonts w:hint="eastAsia" w:ascii="宋体" w:hAnsi="宋体" w:cs="宋体"/>
                <w:kern w:val="0"/>
                <w:sz w:val="20"/>
                <w:szCs w:val="20"/>
              </w:rPr>
              <w:br w:type="textWrapping"/>
            </w:r>
            <w:r>
              <w:rPr>
                <w:rFonts w:hint="eastAsia" w:ascii="宋体" w:hAnsi="宋体" w:cs="宋体"/>
                <w:kern w:val="0"/>
                <w:sz w:val="20"/>
                <w:szCs w:val="20"/>
              </w:rPr>
              <w:t>■两微一端</w:t>
            </w:r>
            <w:r>
              <w:rPr>
                <w:rFonts w:hint="eastAsia" w:ascii="宋体" w:hAnsi="宋体" w:cs="宋体"/>
                <w:kern w:val="0"/>
                <w:sz w:val="20"/>
                <w:szCs w:val="20"/>
              </w:rPr>
              <w:br w:type="textWrapping"/>
            </w:r>
          </w:p>
        </w:tc>
        <w:tc>
          <w:tcPr>
            <w:tcW w:w="721"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推广法治文化服务</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辖区内法治文化阵地信息；法治文化作品、产品</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同上</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对在法制宣传教育工作中做出显著成绩的单位和个人进行表彰奖励</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评选表彰通知；先进集体和个人申报表（空白表）；拟表彰的先进集体先进个人名单；表彰决定</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同上</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5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律师</w:t>
            </w: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对没有取得律师执业证书以律师名义从事法律业务行为的处罚</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行政处罚决定或行政处罚决定书</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《律师法》</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7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5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公证</w:t>
            </w: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公证员一般任职执业审核、考核任职执业审核</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审查（考核）意见</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《公证法》、《公证员执业管理办法》</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■精准推送</w:t>
            </w:r>
          </w:p>
        </w:tc>
        <w:tc>
          <w:tcPr>
            <w:tcW w:w="721"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申请人</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67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5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法律援助</w:t>
            </w: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法律援助服务</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给予法律援助决定书；不予法律援助决定书；指派通知书</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《法律援助条例》、《广西壮族自治区法律援助条例》</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法律援助机构</w:t>
            </w:r>
          </w:p>
        </w:tc>
        <w:tc>
          <w:tcPr>
            <w:tcW w:w="1701" w:type="dxa"/>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■精准推送</w:t>
            </w:r>
          </w:p>
        </w:tc>
        <w:tc>
          <w:tcPr>
            <w:tcW w:w="721" w:type="dxa"/>
            <w:shd w:val="clear" w:color="auto" w:fill="auto"/>
            <w:noWrap/>
            <w:vAlign w:val="center"/>
          </w:tcPr>
          <w:p>
            <w:pPr>
              <w:widowControl/>
              <w:jc w:val="center"/>
              <w:rPr>
                <w:rFonts w:ascii="宋体" w:hAnsi="宋体" w:cs="宋体"/>
                <w:color w:val="000000"/>
                <w:kern w:val="0"/>
                <w:sz w:val="20"/>
                <w:szCs w:val="20"/>
              </w:rPr>
            </w:pPr>
          </w:p>
        </w:tc>
        <w:tc>
          <w:tcPr>
            <w:tcW w:w="90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法律援助申请人、受指派的律师事务所或其他组织等</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679"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57"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法律援助</w:t>
            </w: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法律援助办案人员办案补贴的审核发放</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案件补贴审核发放表</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《法律援助条例》、《广西壮族自治区法律援助条例》</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自收到公开申请之日起20个工作日内公开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法律援助机构</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■精准推送</w:t>
            </w:r>
          </w:p>
        </w:tc>
        <w:tc>
          <w:tcPr>
            <w:tcW w:w="721" w:type="dxa"/>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申请人</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对法律援助机构不予援助决定异议的审查</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处理决定书</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《法律援助条例》、《广西壮族自治区法律援助条例》</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自收到公开申请之日起20个工作日内公开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■精准推送</w:t>
            </w:r>
          </w:p>
        </w:tc>
        <w:tc>
          <w:tcPr>
            <w:tcW w:w="721" w:type="dxa"/>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4"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申请人</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对在法律援助工作中作出突出贡献的组织和个人进行表彰奖励</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评选表彰通知；先进集体和个人申报表（空白表）；拟表彰的先进集体先进个人名单；表彰决定</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《法律援助条例》、《广西壮族自治区法律援助条例》</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■其他</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对律师事务所拒绝法律援助机构指派，不安排本所律师办理法律援助案件、律师无正当理由拒绝接受、擅自终止法律援助案件或办理法律援助案件收取财物的处罚</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行政处罚决定或行政处罚决定书</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《法律援助条例》、《广西壮族自治区法律援助条例》</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9"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57"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基层法律服务</w:t>
            </w:r>
          </w:p>
        </w:tc>
        <w:tc>
          <w:tcPr>
            <w:tcW w:w="1549"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基层法律服务工作者执业核准许可</w:t>
            </w:r>
          </w:p>
        </w:tc>
        <w:tc>
          <w:tcPr>
            <w:tcW w:w="2268"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不予受理通知书</w:t>
            </w:r>
          </w:p>
        </w:tc>
        <w:tc>
          <w:tcPr>
            <w:tcW w:w="1701"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《基层法律服务工作者管理办法》</w:t>
            </w:r>
          </w:p>
        </w:tc>
        <w:tc>
          <w:tcPr>
            <w:tcW w:w="1276"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■精准推送</w:t>
            </w:r>
          </w:p>
        </w:tc>
        <w:tc>
          <w:tcPr>
            <w:tcW w:w="721" w:type="dxa"/>
            <w:vMerge w:val="restar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04"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申请人</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18"/>
                <w:szCs w:val="18"/>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18"/>
                <w:szCs w:val="18"/>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对基层法律服务所、基层法律服务工作者违法违规行为的处罚</w:t>
            </w:r>
          </w:p>
        </w:tc>
        <w:tc>
          <w:tcPr>
            <w:tcW w:w="2268"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行政处罚决定或行政处罚决定书</w:t>
            </w:r>
          </w:p>
        </w:tc>
        <w:tc>
          <w:tcPr>
            <w:tcW w:w="1701"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《基层法律服务所管理办法》、《基层法律服务工作者管理办法》</w:t>
            </w:r>
          </w:p>
        </w:tc>
        <w:tc>
          <w:tcPr>
            <w:tcW w:w="1276"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■其他</w:t>
            </w:r>
          </w:p>
        </w:tc>
        <w:tc>
          <w:tcPr>
            <w:tcW w:w="721"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对基层法律服务所、基层法律服务工作者进行表彰奖励</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评选表彰通知；先进集体和个人申报表（空白表）；拟表彰的先进集体先进个人名单；表彰决定</w:t>
            </w:r>
          </w:p>
        </w:tc>
        <w:tc>
          <w:tcPr>
            <w:tcW w:w="170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《基层法律服务所管理办法》、《基层法律服务工作者管理办法》</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■其他 </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7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5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人民调解</w:t>
            </w: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对有突出贡献的人民调解委员会和人民调解员按照国家规定给予表彰奖励</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评选表彰通知；先进集体和个人申报表（空白表）；拟表彰的先进集体先进个人名单；表彰决定。</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《人民调解法》、《广西壮族自治区人民调解条例》</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■其他</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679"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57"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法律查询服务</w:t>
            </w: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法律法规和案例检索服务</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法律法规库网址或链接；典型案例库网址或链接</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《中共中央、国务院转发&lt;中央宣传部、司法部关于在公民中开展法制宣传</w:t>
            </w:r>
            <w:bookmarkStart w:id="0" w:name="_GoBack"/>
            <w:bookmarkEnd w:id="0"/>
            <w:r>
              <w:rPr>
                <w:rFonts w:hint="eastAsia" w:ascii="宋体" w:hAnsi="宋体" w:cs="宋体"/>
                <w:color w:val="000000"/>
                <w:kern w:val="0"/>
                <w:sz w:val="20"/>
                <w:szCs w:val="20"/>
              </w:rPr>
              <w:t>教育的第七个五年规划（2016－2020年）&gt;》《广西壮族自治区“七五”普法规划》</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法律服务机构、人员信息查询服务</w:t>
            </w:r>
          </w:p>
        </w:tc>
        <w:tc>
          <w:tcPr>
            <w:tcW w:w="2268"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辖区内的律师、公证、基层法律服务、司法鉴定、仲裁、人民调解等法律服务机构和人员有关基本信息、从业信息和信用信息等</w:t>
            </w:r>
          </w:p>
        </w:tc>
        <w:tc>
          <w:tcPr>
            <w:tcW w:w="1701"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《政府信息公开条例》</w:t>
            </w:r>
          </w:p>
        </w:tc>
        <w:tc>
          <w:tcPr>
            <w:tcW w:w="1276"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县司法局</w:t>
            </w:r>
          </w:p>
        </w:tc>
        <w:tc>
          <w:tcPr>
            <w:tcW w:w="1701"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■其他</w:t>
            </w:r>
          </w:p>
        </w:tc>
        <w:tc>
          <w:tcPr>
            <w:tcW w:w="721"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79"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857"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法律咨询服务</w:t>
            </w:r>
          </w:p>
        </w:tc>
        <w:tc>
          <w:tcPr>
            <w:tcW w:w="1549"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公共法律服务实体平台、热线平台、网络平台咨询服务</w:t>
            </w:r>
          </w:p>
        </w:tc>
        <w:tc>
          <w:tcPr>
            <w:tcW w:w="2268"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公共法律服务实体、热线、网络平台法律咨询服务指南</w:t>
            </w:r>
          </w:p>
        </w:tc>
        <w:tc>
          <w:tcPr>
            <w:tcW w:w="1701"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《政府信息公开条例》</w:t>
            </w:r>
          </w:p>
        </w:tc>
        <w:tc>
          <w:tcPr>
            <w:tcW w:w="1276"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县司法局、公共法律服务中心、公共法律服务工作站</w:t>
            </w:r>
          </w:p>
        </w:tc>
        <w:tc>
          <w:tcPr>
            <w:tcW w:w="1701" w:type="dxa"/>
            <w:vMerge w:val="restar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■公开查阅点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■其他</w:t>
            </w:r>
          </w:p>
        </w:tc>
        <w:tc>
          <w:tcPr>
            <w:tcW w:w="721"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9" w:type="dxa"/>
            <w:vMerge w:val="continue"/>
            <w:vAlign w:val="center"/>
          </w:tcPr>
          <w:p>
            <w:pPr>
              <w:widowControl/>
              <w:jc w:val="left"/>
              <w:rPr>
                <w:rFonts w:ascii="宋体" w:hAnsi="宋体" w:cs="宋体"/>
                <w:color w:val="000000"/>
                <w:kern w:val="0"/>
                <w:sz w:val="20"/>
                <w:szCs w:val="20"/>
              </w:rPr>
            </w:pPr>
          </w:p>
        </w:tc>
        <w:tc>
          <w:tcPr>
            <w:tcW w:w="857" w:type="dxa"/>
            <w:vMerge w:val="continue"/>
            <w:vAlign w:val="center"/>
          </w:tcPr>
          <w:p>
            <w:pPr>
              <w:widowControl/>
              <w:jc w:val="left"/>
              <w:rPr>
                <w:rFonts w:ascii="宋体" w:hAnsi="宋体" w:cs="宋体"/>
                <w:color w:val="000000"/>
                <w:kern w:val="0"/>
                <w:sz w:val="20"/>
                <w:szCs w:val="20"/>
              </w:rPr>
            </w:pPr>
          </w:p>
        </w:tc>
        <w:tc>
          <w:tcPr>
            <w:tcW w:w="1549" w:type="dxa"/>
            <w:vMerge w:val="continue"/>
            <w:vAlign w:val="center"/>
          </w:tcPr>
          <w:p>
            <w:pPr>
              <w:widowControl/>
              <w:jc w:val="left"/>
              <w:rPr>
                <w:rFonts w:ascii="宋体" w:hAnsi="宋体" w:cs="宋体"/>
                <w:color w:val="000000"/>
                <w:kern w:val="0"/>
                <w:sz w:val="20"/>
                <w:szCs w:val="20"/>
              </w:rPr>
            </w:pPr>
          </w:p>
        </w:tc>
        <w:tc>
          <w:tcPr>
            <w:tcW w:w="2268"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1276" w:type="dxa"/>
            <w:vMerge w:val="continue"/>
            <w:vAlign w:val="center"/>
          </w:tcPr>
          <w:p>
            <w:pPr>
              <w:widowControl/>
              <w:jc w:val="left"/>
              <w:rPr>
                <w:rFonts w:ascii="宋体" w:hAnsi="宋体" w:cs="宋体"/>
                <w:color w:val="000000"/>
                <w:kern w:val="0"/>
                <w:sz w:val="20"/>
                <w:szCs w:val="20"/>
              </w:rPr>
            </w:pPr>
          </w:p>
        </w:tc>
        <w:tc>
          <w:tcPr>
            <w:tcW w:w="850" w:type="dxa"/>
            <w:vMerge w:val="continue"/>
            <w:vAlign w:val="center"/>
          </w:tcPr>
          <w:p>
            <w:pPr>
              <w:widowControl/>
              <w:jc w:val="left"/>
              <w:rPr>
                <w:rFonts w:ascii="宋体" w:hAnsi="宋体" w:cs="宋体"/>
                <w:color w:val="000000"/>
                <w:kern w:val="0"/>
                <w:sz w:val="20"/>
                <w:szCs w:val="20"/>
              </w:rPr>
            </w:pPr>
          </w:p>
        </w:tc>
        <w:tc>
          <w:tcPr>
            <w:tcW w:w="1701" w:type="dxa"/>
            <w:vMerge w:val="continue"/>
            <w:vAlign w:val="center"/>
          </w:tcPr>
          <w:p>
            <w:pPr>
              <w:widowControl/>
              <w:jc w:val="left"/>
              <w:rPr>
                <w:rFonts w:ascii="宋体" w:hAnsi="宋体" w:cs="宋体"/>
                <w:color w:val="000000"/>
                <w:kern w:val="0"/>
                <w:sz w:val="20"/>
                <w:szCs w:val="20"/>
              </w:rPr>
            </w:pPr>
          </w:p>
        </w:tc>
        <w:tc>
          <w:tcPr>
            <w:tcW w:w="721" w:type="dxa"/>
            <w:vMerge w:val="continue"/>
            <w:vAlign w:val="center"/>
          </w:tcPr>
          <w:p>
            <w:pPr>
              <w:widowControl/>
              <w:jc w:val="left"/>
              <w:rPr>
                <w:rFonts w:ascii="宋体" w:hAnsi="宋体" w:cs="宋体"/>
                <w:color w:val="000000"/>
                <w:kern w:val="0"/>
                <w:sz w:val="20"/>
                <w:szCs w:val="20"/>
              </w:rPr>
            </w:pPr>
          </w:p>
        </w:tc>
        <w:tc>
          <w:tcPr>
            <w:tcW w:w="904"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c>
          <w:tcPr>
            <w:tcW w:w="570" w:type="dxa"/>
            <w:vMerge w:val="continue"/>
            <w:vAlign w:val="center"/>
          </w:tcPr>
          <w:p>
            <w:pPr>
              <w:widowControl/>
              <w:jc w:val="lef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9"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5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公共法律服务平台</w:t>
            </w:r>
          </w:p>
        </w:tc>
        <w:tc>
          <w:tcPr>
            <w:tcW w:w="1549"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公共法律服务实体、热线、网络平台信息</w:t>
            </w:r>
          </w:p>
        </w:tc>
        <w:tc>
          <w:tcPr>
            <w:tcW w:w="2268"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70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《政府信息公开条例》</w:t>
            </w:r>
          </w:p>
        </w:tc>
        <w:tc>
          <w:tcPr>
            <w:tcW w:w="1276"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自制作或获取该信息之日起20个工作日内公开</w:t>
            </w:r>
          </w:p>
        </w:tc>
        <w:tc>
          <w:tcPr>
            <w:tcW w:w="85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县司法局、公共法律服务中心、公共法律服务工作站</w:t>
            </w:r>
          </w:p>
        </w:tc>
        <w:tc>
          <w:tcPr>
            <w:tcW w:w="1701"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■罗城仫佬族自治县人民政府门户网站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■罗城仫佬族自治县政务服务中心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■公开查阅点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■公示栏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■两微一端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■其他 </w:t>
            </w:r>
          </w:p>
        </w:tc>
        <w:tc>
          <w:tcPr>
            <w:tcW w:w="721"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04"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70"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34931DAD"/>
    <w:rsid w:val="049C5429"/>
    <w:rsid w:val="2EDC2B47"/>
    <w:rsid w:val="34931DAD"/>
    <w:rsid w:val="49765BBC"/>
    <w:rsid w:val="5E7C5278"/>
    <w:rsid w:val="7885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2585</Words>
  <Characters>2620</Characters>
  <Lines>0</Lines>
  <Paragraphs>0</Paragraphs>
  <TotalTime>1</TotalTime>
  <ScaleCrop>false</ScaleCrop>
  <LinksUpToDate>false</LinksUpToDate>
  <CharactersWithSpaces>2668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2020-11-30T04:14:00Z</dcterms:created>
  <dc:creator>Administrator</dc:creator>
  <cp:lastModifiedBy>卢映村</cp:lastModifiedBy>
  <dcterms:modified xsi:type="dcterms:W3CDTF">2022-07-05T10:12:45Z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A29CE33FB41A43A6AF7E1AB8E8AA5564</vt:lpwstr>
  </property>
</Properties>
</file>