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ascii="Times New Roman" w:hAnsi="Times New Roman"/>
                <w:color w:val="000000"/>
              </w:rPr>
            </w:pPr>
            <w:r>
              <w:rPr>
                <w:rFonts w:ascii="Times New Roman" w:hAnsi="宋体"/>
                <w:color w:val="000000"/>
              </w:rPr>
              <w:t>序号</w:t>
            </w:r>
          </w:p>
        </w:tc>
        <w:tc>
          <w:tcPr>
            <w:tcW w:w="23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公开事项</w:t>
            </w:r>
          </w:p>
        </w:tc>
        <w:tc>
          <w:tcPr>
            <w:tcW w:w="162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公开内容（要素）</w:t>
            </w:r>
          </w:p>
        </w:tc>
        <w:tc>
          <w:tcPr>
            <w:tcW w:w="198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公开依据</w:t>
            </w:r>
          </w:p>
        </w:tc>
        <w:tc>
          <w:tcPr>
            <w:tcW w:w="18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公开时限</w:t>
            </w:r>
          </w:p>
        </w:tc>
        <w:tc>
          <w:tcPr>
            <w:tcW w:w="900" w:type="dxa"/>
            <w:vMerge w:val="restart"/>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公开主体</w:t>
            </w:r>
          </w:p>
        </w:tc>
        <w:tc>
          <w:tcPr>
            <w:tcW w:w="2340" w:type="dxa"/>
            <w:vMerge w:val="restart"/>
            <w:shd w:val="clear" w:color="auto" w:fill="auto"/>
            <w:vAlign w:val="center"/>
          </w:tcPr>
          <w:p>
            <w:pPr>
              <w:jc w:val="center"/>
              <w:rPr>
                <w:rFonts w:ascii="黑体" w:hAnsi="宋体" w:eastAsia="黑体" w:cs="宋体"/>
              </w:rPr>
            </w:pPr>
            <w:r>
              <w:rPr>
                <w:rFonts w:hint="eastAsia" w:ascii="黑体" w:hAnsi="宋体" w:eastAsia="黑体" w:cs="宋体"/>
              </w:rPr>
              <w:t>公开渠道和载体</w:t>
            </w:r>
          </w:p>
        </w:tc>
        <w:tc>
          <w:tcPr>
            <w:tcW w:w="144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公开对象</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公开方式</w:t>
            </w:r>
          </w:p>
        </w:tc>
        <w:tc>
          <w:tcPr>
            <w:tcW w:w="1260" w:type="dxa"/>
            <w:gridSpan w:val="2"/>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Times New Roman" w:hAnsi="Times New Roman"/>
                <w:color w:val="000000"/>
              </w:rPr>
            </w:pP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一级事项</w:t>
            </w:r>
          </w:p>
        </w:tc>
        <w:tc>
          <w:tcPr>
            <w:tcW w:w="14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二级事项</w:t>
            </w:r>
          </w:p>
        </w:tc>
        <w:tc>
          <w:tcPr>
            <w:tcW w:w="1620" w:type="dxa"/>
            <w:vMerge w:val="continue"/>
            <w:vAlign w:val="center"/>
          </w:tcPr>
          <w:p>
            <w:pPr>
              <w:rPr>
                <w:rFonts w:ascii="黑体" w:hAnsi="宋体" w:eastAsia="黑体" w:cs="宋体"/>
                <w:color w:val="000000"/>
              </w:rPr>
            </w:pPr>
          </w:p>
        </w:tc>
        <w:tc>
          <w:tcPr>
            <w:tcW w:w="1980" w:type="dxa"/>
            <w:vMerge w:val="continue"/>
            <w:vAlign w:val="center"/>
          </w:tcPr>
          <w:p>
            <w:pPr>
              <w:rPr>
                <w:rFonts w:ascii="黑体" w:hAnsi="宋体" w:eastAsia="黑体" w:cs="宋体"/>
                <w:color w:val="000000"/>
              </w:rPr>
            </w:pPr>
          </w:p>
        </w:tc>
        <w:tc>
          <w:tcPr>
            <w:tcW w:w="1800" w:type="dxa"/>
            <w:vMerge w:val="continue"/>
            <w:vAlign w:val="center"/>
          </w:tcPr>
          <w:p>
            <w:pPr>
              <w:rPr>
                <w:rFonts w:ascii="黑体" w:hAnsi="宋体" w:eastAsia="黑体" w:cs="宋体"/>
                <w:color w:val="000000"/>
              </w:rPr>
            </w:pPr>
          </w:p>
        </w:tc>
        <w:tc>
          <w:tcPr>
            <w:tcW w:w="900" w:type="dxa"/>
            <w:vMerge w:val="continue"/>
            <w:vAlign w:val="center"/>
          </w:tcPr>
          <w:p>
            <w:pPr>
              <w:rPr>
                <w:rFonts w:ascii="黑体" w:hAnsi="宋体" w:eastAsia="黑体" w:cs="宋体"/>
                <w:color w:val="000000"/>
              </w:rPr>
            </w:pPr>
          </w:p>
        </w:tc>
        <w:tc>
          <w:tcPr>
            <w:tcW w:w="2340" w:type="dxa"/>
            <w:vMerge w:val="continue"/>
            <w:vAlign w:val="center"/>
          </w:tcPr>
          <w:p>
            <w:pPr>
              <w:rPr>
                <w:rFonts w:ascii="黑体" w:hAnsi="宋体" w:eastAsia="黑体" w:cs="宋体"/>
              </w:rPr>
            </w:pP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全社会</w:t>
            </w:r>
          </w:p>
        </w:tc>
        <w:tc>
          <w:tcPr>
            <w:tcW w:w="90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特定群众</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主动</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依申请公开</w:t>
            </w:r>
          </w:p>
        </w:tc>
        <w:tc>
          <w:tcPr>
            <w:tcW w:w="54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县级</w:t>
            </w:r>
          </w:p>
        </w:tc>
        <w:tc>
          <w:tcPr>
            <w:tcW w:w="720" w:type="dxa"/>
            <w:shd w:val="clear" w:color="auto" w:fill="auto"/>
            <w:vAlign w:val="center"/>
          </w:tcPr>
          <w:p>
            <w:pPr>
              <w:jc w:val="center"/>
              <w:rPr>
                <w:rFonts w:ascii="黑体" w:hAnsi="宋体" w:eastAsia="黑体" w:cs="宋体"/>
                <w:color w:val="000000"/>
              </w:rPr>
            </w:pPr>
            <w:r>
              <w:rPr>
                <w:rFonts w:hint="eastAsia" w:ascii="黑体" w:hAnsi="宋体" w:eastAsia="黑体"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法制宣传教育</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《中共中央、国务院转发&lt;中央宣传部、司法部关于在公民中开展法制宣传教育的第七个五年规划（2016－2020年）&gt;》、各省“七五”普法规划</w:t>
            </w:r>
          </w:p>
        </w:tc>
        <w:tc>
          <w:tcPr>
            <w:tcW w:w="180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eastAsia="zh-CN"/>
              </w:rPr>
              <w:t>广西壮族自治区</w:t>
            </w:r>
            <w:r>
              <w:rPr>
                <w:rFonts w:hint="eastAsia" w:ascii="仿宋_GB2312" w:hAnsi="宋体" w:eastAsia="仿宋_GB2312"/>
                <w:color w:val="000000"/>
                <w:sz w:val="18"/>
                <w:szCs w:val="18"/>
              </w:rPr>
              <w:t>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1" w:name="_GoBack"/>
            <w:bookmarkEnd w:id="1"/>
            <w:r>
              <w:rPr>
                <w:rFonts w:hint="eastAsia" w:ascii="仿宋_GB2312" w:hAnsi="宋体" w:eastAsia="仿宋_GB2312"/>
                <w:color w:val="000000"/>
                <w:sz w:val="18"/>
                <w:szCs w:val="18"/>
              </w:rPr>
              <w:t>教育的第七个五年规划（2016－2020年）&gt;》《xx省“七五”普法规划》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16</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spacing w:line="220" w:lineRule="atLeast"/>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00D31D50"/>
    <w:rsid w:val="00233880"/>
    <w:rsid w:val="00323B43"/>
    <w:rsid w:val="003D37D8"/>
    <w:rsid w:val="00413AC8"/>
    <w:rsid w:val="00426133"/>
    <w:rsid w:val="004358AB"/>
    <w:rsid w:val="004A2E1A"/>
    <w:rsid w:val="004C7B0E"/>
    <w:rsid w:val="006C5BAA"/>
    <w:rsid w:val="007518B4"/>
    <w:rsid w:val="008B7726"/>
    <w:rsid w:val="00C756A4"/>
    <w:rsid w:val="00D31D50"/>
    <w:rsid w:val="00D84E62"/>
    <w:rsid w:val="00D9211E"/>
    <w:rsid w:val="41AA2A49"/>
    <w:rsid w:val="4D9B6930"/>
    <w:rsid w:val="55AA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9"/>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2468</Words>
  <Characters>2510</Characters>
  <Lines>23</Lines>
  <Paragraphs>6</Paragraphs>
  <TotalTime>0</TotalTime>
  <ScaleCrop>false</ScaleCrop>
  <LinksUpToDate>false</LinksUpToDate>
  <CharactersWithSpaces>2738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卢映村</cp:lastModifiedBy>
  <dcterms:modified xsi:type="dcterms:W3CDTF">2022-07-12T09:28:36Z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FA1368D9BD3A49CA8A8BB2488BF6DD86</vt:lpwstr>
  </property>
</Properties>
</file>