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10"/>
      <w:r>
        <w:rPr>
          <w:rFonts w:hint="eastAsia" w:ascii="方正小标宋_GBK" w:hAnsi="方正小标宋_GBK" w:eastAsia="方正小标宋_GBK"/>
          <w:b w:val="0"/>
          <w:bCs w:val="0"/>
          <w:sz w:val="30"/>
          <w:lang w:val="en-US" w:eastAsia="zh-CN"/>
        </w:rPr>
        <w:t>阳朔县</w:t>
      </w:r>
      <w:r>
        <w:rPr>
          <w:rFonts w:hint="eastAsia" w:ascii="方正小标宋_GBK" w:hAnsi="方正小标宋_GBK" w:eastAsia="方正小标宋_GBK"/>
          <w:b w:val="0"/>
          <w:bCs w:val="0"/>
          <w:sz w:val="30"/>
        </w:rPr>
        <w:t>公共法律服务领域基层政务公开标准目录</w:t>
      </w:r>
      <w:bookmarkEnd w:id="0"/>
    </w:p>
    <w:bookmarkEnd w:id="1"/>
    <w:tbl>
      <w:tblPr>
        <w:tblStyle w:val="3"/>
        <w:tblW w:w="1557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
      <w:tblGrid>
        <w:gridCol w:w="540"/>
        <w:gridCol w:w="900"/>
        <w:gridCol w:w="1440"/>
        <w:gridCol w:w="2059"/>
        <w:gridCol w:w="2268"/>
        <w:gridCol w:w="1276"/>
        <w:gridCol w:w="1134"/>
        <w:gridCol w:w="2410"/>
        <w:gridCol w:w="425"/>
        <w:gridCol w:w="709"/>
        <w:gridCol w:w="425"/>
        <w:gridCol w:w="850"/>
        <w:gridCol w:w="42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59"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6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7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3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41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13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3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59" w:type="dxa"/>
            <w:vMerge w:val="continue"/>
            <w:noWrap w:val="0"/>
            <w:vAlign w:val="center"/>
          </w:tcPr>
          <w:p>
            <w:pPr>
              <w:widowControl/>
              <w:jc w:val="left"/>
              <w:rPr>
                <w:rFonts w:ascii="黑体" w:hAnsi="宋体" w:eastAsia="黑体" w:cs="宋体"/>
                <w:color w:val="000000"/>
                <w:kern w:val="0"/>
                <w:sz w:val="22"/>
              </w:rPr>
            </w:pPr>
          </w:p>
        </w:tc>
        <w:tc>
          <w:tcPr>
            <w:tcW w:w="2268" w:type="dxa"/>
            <w:vMerge w:val="continue"/>
            <w:noWrap w:val="0"/>
            <w:vAlign w:val="center"/>
          </w:tcPr>
          <w:p>
            <w:pPr>
              <w:widowControl/>
              <w:jc w:val="left"/>
              <w:rPr>
                <w:rFonts w:ascii="黑体" w:hAnsi="宋体" w:eastAsia="黑体" w:cs="宋体"/>
                <w:color w:val="000000"/>
                <w:kern w:val="0"/>
                <w:sz w:val="22"/>
              </w:rPr>
            </w:pPr>
          </w:p>
        </w:tc>
        <w:tc>
          <w:tcPr>
            <w:tcW w:w="1276" w:type="dxa"/>
            <w:vMerge w:val="continue"/>
            <w:noWrap w:val="0"/>
            <w:vAlign w:val="center"/>
          </w:tcPr>
          <w:p>
            <w:pPr>
              <w:widowControl/>
              <w:jc w:val="left"/>
              <w:rPr>
                <w:rFonts w:ascii="黑体" w:hAnsi="宋体" w:eastAsia="黑体" w:cs="宋体"/>
                <w:color w:val="000000"/>
                <w:kern w:val="0"/>
                <w:sz w:val="22"/>
              </w:rPr>
            </w:pPr>
          </w:p>
        </w:tc>
        <w:tc>
          <w:tcPr>
            <w:tcW w:w="1134" w:type="dxa"/>
            <w:vMerge w:val="continue"/>
            <w:noWrap w:val="0"/>
            <w:vAlign w:val="center"/>
          </w:tcPr>
          <w:p>
            <w:pPr>
              <w:widowControl/>
              <w:jc w:val="left"/>
              <w:rPr>
                <w:rFonts w:ascii="黑体" w:hAnsi="宋体" w:eastAsia="黑体" w:cs="宋体"/>
                <w:color w:val="000000"/>
                <w:kern w:val="0"/>
                <w:sz w:val="22"/>
              </w:rPr>
            </w:pPr>
          </w:p>
        </w:tc>
        <w:tc>
          <w:tcPr>
            <w:tcW w:w="2410" w:type="dxa"/>
            <w:vMerge w:val="continue"/>
            <w:noWrap w:val="0"/>
            <w:vAlign w:val="center"/>
          </w:tcPr>
          <w:p>
            <w:pPr>
              <w:widowControl/>
              <w:jc w:val="left"/>
              <w:rPr>
                <w:rFonts w:ascii="黑体" w:hAnsi="宋体" w:eastAsia="黑体" w:cs="宋体"/>
                <w:kern w:val="0"/>
                <w:sz w:val="22"/>
              </w:rPr>
            </w:pPr>
          </w:p>
        </w:tc>
        <w:tc>
          <w:tcPr>
            <w:tcW w:w="42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2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2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2059"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2268" w:type="dxa"/>
            <w:noWrap w:val="0"/>
            <w:vAlign w:val="center"/>
          </w:tcPr>
          <w:p>
            <w:pPr>
              <w:widowControl/>
              <w:textAlignment w:val="center"/>
              <w:rPr>
                <w:rFonts w:ascii="Times New Roman" w:hAnsi="Times New Roman" w:eastAsia="仿宋_GB2312"/>
                <w:color w:val="000000"/>
                <w:sz w:val="18"/>
                <w:szCs w:val="18"/>
              </w:rPr>
            </w:pPr>
            <w:r>
              <w:rPr>
                <w:rFonts w:ascii="Times New Roman" w:hAnsi="Times New Roman" w:eastAsia="仿宋_GB2312"/>
                <w:color w:val="000000"/>
                <w:sz w:val="18"/>
                <w:szCs w:val="18"/>
              </w:rPr>
              <w:t>《中共中央、国务院转发&lt;中央宣传部、司法部关于在公民中开展法</w:t>
            </w:r>
            <w:r>
              <w:rPr>
                <w:rFonts w:hint="eastAsia" w:ascii="Times New Roman" w:hAnsi="Times New Roman" w:eastAsia="仿宋_GB2312"/>
                <w:color w:val="000000"/>
                <w:sz w:val="18"/>
                <w:szCs w:val="18"/>
                <w:lang w:eastAsia="zh-CN"/>
              </w:rPr>
              <w:t>制</w:t>
            </w:r>
            <w:r>
              <w:rPr>
                <w:rFonts w:ascii="Times New Roman" w:hAnsi="Times New Roman" w:eastAsia="仿宋_GB2312"/>
                <w:color w:val="000000"/>
                <w:sz w:val="18"/>
                <w:szCs w:val="18"/>
              </w:rPr>
              <w:t>宣传教育的第七个五年规划（2016－2020年）&gt;》（中发〔2016〕11号）、各省“七五”普法规划</w:t>
            </w:r>
          </w:p>
        </w:tc>
        <w:tc>
          <w:tcPr>
            <w:tcW w:w="1276"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w:t>
            </w:r>
            <w:r>
              <w:rPr>
                <w:rFonts w:hint="eastAsia" w:ascii="仿宋_GB2312" w:hAnsi="宋体" w:eastAsia="仿宋_GB2312"/>
                <w:color w:val="000000"/>
                <w:sz w:val="18"/>
                <w:szCs w:val="18"/>
                <w:lang w:eastAsia="zh-CN"/>
              </w:rPr>
              <w:t>治</w:t>
            </w:r>
            <w:r>
              <w:rPr>
                <w:rFonts w:hint="eastAsia" w:ascii="仿宋_GB2312" w:hAnsi="宋体" w:eastAsia="仿宋_GB2312"/>
                <w:color w:val="000000"/>
                <w:sz w:val="18"/>
                <w:szCs w:val="18"/>
              </w:rPr>
              <w:t>文化服务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w:t>
            </w:r>
            <w:r>
              <w:rPr>
                <w:rFonts w:hint="eastAsia" w:ascii="仿宋_GB2312" w:hAnsi="宋体" w:eastAsia="仿宋_GB2312"/>
                <w:color w:val="000000"/>
                <w:sz w:val="18"/>
                <w:szCs w:val="18"/>
                <w:lang w:eastAsia="zh-CN"/>
              </w:rPr>
              <w:t>治</w:t>
            </w:r>
            <w:r>
              <w:rPr>
                <w:rFonts w:hint="eastAsia" w:ascii="仿宋_GB2312" w:hAnsi="宋体" w:eastAsia="仿宋_GB2312"/>
                <w:color w:val="000000"/>
                <w:sz w:val="18"/>
                <w:szCs w:val="18"/>
              </w:rPr>
              <w:t>文化阵地信息；法治文化作品、产品</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同上</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宣传教育工作中做出显著成绩的单位和个人进行表彰奖励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同上</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《律师法》</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《公证法》、《公证员执业管理办法》（司法部令第102号）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p>
        </w:tc>
        <w:tc>
          <w:tcPr>
            <w:tcW w:w="85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p>
        </w:tc>
        <w:tc>
          <w:tcPr>
            <w:tcW w:w="85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《基层法律服务工作者管理办法》（司法部令第138号）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2268" w:type="dxa"/>
            <w:noWrap w:val="0"/>
            <w:vAlign w:val="center"/>
          </w:tcPr>
          <w:p>
            <w:pP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《基层法律服务所管理办法》</w:t>
            </w:r>
            <w:r>
              <w:rPr>
                <w:rFonts w:ascii="Times New Roman" w:hAnsi="Times New Roman" w:eastAsia="仿宋_GB2312"/>
                <w:color w:val="000000"/>
                <w:sz w:val="18"/>
                <w:szCs w:val="18"/>
              </w:rPr>
              <w:t>(司法部令第137号)、《基层法律服务工作者管理办法》（司法部令第138号）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268"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《基层法律服务所管理办法》(司法部令第137号)</w:t>
            </w:r>
            <w:r>
              <w:rPr>
                <w:rFonts w:ascii="Times New Roman" w:hAnsi="Times New Roman" w:eastAsia="仿宋_GB2312"/>
                <w:color w:val="000000"/>
                <w:sz w:val="18"/>
                <w:szCs w:val="18"/>
              </w:rPr>
              <w:t>、《基层法律服务工作者管理办法》（司法部令第138号）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《人民调解法》、《xx省人民调解条例》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《中共中央、国务院转发&lt;中央宣传部、司法部关于在公民中开展法</w:t>
            </w:r>
            <w:r>
              <w:rPr>
                <w:rFonts w:hint="eastAsia" w:ascii="Times New Roman" w:hAnsi="Times New Roman" w:eastAsia="仿宋_GB2312"/>
                <w:color w:val="000000"/>
                <w:sz w:val="18"/>
                <w:szCs w:val="18"/>
                <w:lang w:eastAsia="zh-CN"/>
              </w:rPr>
              <w:t>制</w:t>
            </w:r>
            <w:r>
              <w:rPr>
                <w:rFonts w:ascii="Times New Roman" w:hAnsi="Times New Roman" w:eastAsia="仿宋_GB2312"/>
                <w:color w:val="000000"/>
                <w:sz w:val="18"/>
                <w:szCs w:val="18"/>
              </w:rPr>
              <w:t>宣传教育的第七个五年规划（2016－2020年）&gt;》（中发〔2016〕11号）《xx省“七五”普法规划》</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226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226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6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NjN2E1M2UwMWMyNTQwZWU0MjkxMTc0MjQxZDQifQ=="/>
  </w:docVars>
  <w:rsids>
    <w:rsidRoot w:val="62892F77"/>
    <w:rsid w:val="04C031EF"/>
    <w:rsid w:val="0F04440E"/>
    <w:rsid w:val="1B7B291A"/>
    <w:rsid w:val="62587C03"/>
    <w:rsid w:val="6289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6</Pages>
  <Words>2721</Words>
  <Characters>2801</Characters>
  <Lines>0</Lines>
  <Paragraphs>0</Paragraphs>
  <TotalTime>5</TotalTime>
  <ScaleCrop>false</ScaleCrop>
  <LinksUpToDate>false</LinksUpToDate>
  <CharactersWithSpaces>3064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2020-11-30T09:10:00Z</dcterms:created>
  <dc:creator>Administrator</dc:creator>
  <cp:lastModifiedBy>新闻中心</cp:lastModifiedBy>
  <dcterms:modified xsi:type="dcterms:W3CDTF">2022-07-11T07:11:19Z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9FED8665EB88417CA4E81F2D3351CDCF</vt:lpwstr>
  </property>
</Properties>
</file>