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1" w:name="_GoBack"/>
      <w:bookmarkStart w:id="0" w:name="_Toc24724710"/>
      <w:r>
        <w:rPr>
          <w:rFonts w:hint="eastAsia" w:ascii="方正小标宋_GBK" w:eastAsia="方正小标宋_GBK"/>
          <w:sz w:val="44"/>
          <w:szCs w:val="44"/>
        </w:rPr>
        <w:t>永福县公共法律服务领域基层政务公开标准目录</w:t>
      </w:r>
      <w:bookmarkEnd w:id="0"/>
    </w:p>
    <w:bookmarkEnd w:id="1"/>
    <w:p>
      <w:pPr>
        <w:jc w:val="left"/>
        <w:rPr>
          <w:rFonts w:ascii="方正小标宋_GBK" w:eastAsia="方正小标宋_GBK"/>
          <w:sz w:val="28"/>
          <w:szCs w:val="28"/>
        </w:rPr>
      </w:pPr>
      <w:r>
        <w:rPr>
          <w:rFonts w:hint="eastAsia" w:ascii="方正小标宋_GBK" w:eastAsia="方正小标宋_GBK"/>
          <w:sz w:val="28"/>
          <w:szCs w:val="28"/>
        </w:rPr>
        <w:t>单位：永福县司法局</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268"/>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themeColor="text1"/>
                <w:kern w:val="0"/>
                <w:sz w:val="22"/>
              </w:rPr>
            </w:pPr>
            <w:r>
              <w:rPr>
                <w:rFonts w:hAnsi="宋体"/>
                <w:color w:val="000000" w:themeColor="text1"/>
                <w:kern w:val="0"/>
                <w:sz w:val="22"/>
              </w:rPr>
              <w:t>序号</w:t>
            </w:r>
          </w:p>
        </w:tc>
        <w:tc>
          <w:tcPr>
            <w:tcW w:w="23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公开事项</w:t>
            </w:r>
          </w:p>
        </w:tc>
        <w:tc>
          <w:tcPr>
            <w:tcW w:w="162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公开内容（要素）</w:t>
            </w:r>
          </w:p>
        </w:tc>
        <w:tc>
          <w:tcPr>
            <w:tcW w:w="198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公开依据</w:t>
            </w:r>
          </w:p>
        </w:tc>
        <w:tc>
          <w:tcPr>
            <w:tcW w:w="180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公开时限</w:t>
            </w:r>
          </w:p>
        </w:tc>
        <w:tc>
          <w:tcPr>
            <w:tcW w:w="90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公开主体</w:t>
            </w:r>
          </w:p>
        </w:tc>
        <w:tc>
          <w:tcPr>
            <w:tcW w:w="234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公开渠道和载体</w:t>
            </w:r>
          </w:p>
        </w:tc>
        <w:tc>
          <w:tcPr>
            <w:tcW w:w="14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公开对象</w:t>
            </w:r>
          </w:p>
        </w:tc>
        <w:tc>
          <w:tcPr>
            <w:tcW w:w="126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公开方式</w:t>
            </w:r>
          </w:p>
        </w:tc>
        <w:tc>
          <w:tcPr>
            <w:tcW w:w="126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themeColor="text1"/>
                <w:kern w:val="0"/>
                <w:sz w:val="22"/>
              </w:rPr>
            </w:pPr>
          </w:p>
        </w:tc>
        <w:tc>
          <w:tcPr>
            <w:tcW w:w="1072"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一级事项</w:t>
            </w:r>
          </w:p>
        </w:tc>
        <w:tc>
          <w:tcPr>
            <w:tcW w:w="1268"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二级事项</w:t>
            </w:r>
          </w:p>
        </w:tc>
        <w:tc>
          <w:tcPr>
            <w:tcW w:w="1620" w:type="dxa"/>
            <w:vMerge w:val="continue"/>
            <w:vAlign w:val="center"/>
          </w:tcPr>
          <w:p>
            <w:pPr>
              <w:widowControl/>
              <w:jc w:val="left"/>
              <w:rPr>
                <w:rFonts w:ascii="黑体" w:hAnsi="宋体" w:eastAsia="黑体" w:cs="宋体"/>
                <w:color w:val="000000" w:themeColor="text1"/>
                <w:kern w:val="0"/>
                <w:sz w:val="22"/>
              </w:rPr>
            </w:pPr>
          </w:p>
        </w:tc>
        <w:tc>
          <w:tcPr>
            <w:tcW w:w="1980" w:type="dxa"/>
            <w:vMerge w:val="continue"/>
            <w:vAlign w:val="center"/>
          </w:tcPr>
          <w:p>
            <w:pPr>
              <w:widowControl/>
              <w:jc w:val="left"/>
              <w:rPr>
                <w:rFonts w:ascii="黑体" w:hAnsi="宋体" w:eastAsia="黑体" w:cs="宋体"/>
                <w:color w:val="000000" w:themeColor="text1"/>
                <w:kern w:val="0"/>
                <w:sz w:val="22"/>
              </w:rPr>
            </w:pPr>
          </w:p>
        </w:tc>
        <w:tc>
          <w:tcPr>
            <w:tcW w:w="1800" w:type="dxa"/>
            <w:vMerge w:val="continue"/>
            <w:vAlign w:val="center"/>
          </w:tcPr>
          <w:p>
            <w:pPr>
              <w:widowControl/>
              <w:jc w:val="left"/>
              <w:rPr>
                <w:rFonts w:ascii="黑体" w:hAnsi="宋体" w:eastAsia="黑体" w:cs="宋体"/>
                <w:color w:val="000000" w:themeColor="text1"/>
                <w:kern w:val="0"/>
                <w:sz w:val="22"/>
              </w:rPr>
            </w:pPr>
          </w:p>
        </w:tc>
        <w:tc>
          <w:tcPr>
            <w:tcW w:w="900" w:type="dxa"/>
            <w:vMerge w:val="continue"/>
            <w:vAlign w:val="center"/>
          </w:tcPr>
          <w:p>
            <w:pPr>
              <w:widowControl/>
              <w:jc w:val="left"/>
              <w:rPr>
                <w:rFonts w:ascii="黑体" w:hAnsi="宋体" w:eastAsia="黑体" w:cs="宋体"/>
                <w:color w:val="000000" w:themeColor="text1"/>
                <w:kern w:val="0"/>
                <w:sz w:val="22"/>
              </w:rPr>
            </w:pPr>
          </w:p>
        </w:tc>
        <w:tc>
          <w:tcPr>
            <w:tcW w:w="2340" w:type="dxa"/>
            <w:vMerge w:val="continue"/>
            <w:vAlign w:val="center"/>
          </w:tcPr>
          <w:p>
            <w:pPr>
              <w:widowControl/>
              <w:jc w:val="left"/>
              <w:rPr>
                <w:rFonts w:ascii="黑体" w:hAnsi="宋体" w:eastAsia="黑体" w:cs="宋体"/>
                <w:color w:val="000000" w:themeColor="text1"/>
                <w:kern w:val="0"/>
                <w:sz w:val="22"/>
              </w:rPr>
            </w:pP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全社会</w:t>
            </w:r>
          </w:p>
        </w:tc>
        <w:tc>
          <w:tcPr>
            <w:tcW w:w="90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特定群众</w:t>
            </w: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主动</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依申请公开</w:t>
            </w: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县级</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w:t>
            </w:r>
          </w:p>
        </w:tc>
        <w:tc>
          <w:tcPr>
            <w:tcW w:w="1072" w:type="dxa"/>
            <w:vMerge w:val="restart"/>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w:t>
            </w:r>
            <w:r>
              <w:rPr>
                <w:rFonts w:hint="eastAsia" w:ascii="仿宋_GB2312" w:hAnsi="宋体" w:eastAsia="仿宋_GB2312"/>
                <w:color w:val="000000" w:themeColor="text1"/>
                <w:sz w:val="18"/>
                <w:szCs w:val="18"/>
                <w:lang w:eastAsia="zh-CN"/>
              </w:rPr>
              <w:t>制</w:t>
            </w:r>
            <w:r>
              <w:rPr>
                <w:rFonts w:hint="eastAsia" w:ascii="仿宋_GB2312" w:hAnsi="宋体" w:eastAsia="仿宋_GB2312"/>
                <w:color w:val="000000" w:themeColor="text1"/>
                <w:sz w:val="18"/>
                <w:szCs w:val="18"/>
              </w:rPr>
              <w:t>宣传教育</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法律知识普及服务</w:t>
            </w:r>
          </w:p>
        </w:tc>
        <w:tc>
          <w:tcPr>
            <w:tcW w:w="1620"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法律法规资讯；普法动态资讯；普法讲师团信息等</w:t>
            </w:r>
          </w:p>
        </w:tc>
        <w:tc>
          <w:tcPr>
            <w:tcW w:w="1980" w:type="dxa"/>
            <w:vAlign w:val="center"/>
          </w:tcPr>
          <w:p>
            <w:pPr>
              <w:widowControl/>
              <w:textAlignment w:val="cente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《中共中央、国务院转发&lt;中央宣传部、司法部关于在公民中开展法</w:t>
            </w:r>
            <w:r>
              <w:rPr>
                <w:rFonts w:hint="eastAsia" w:eastAsia="仿宋_GB2312"/>
                <w:color w:val="000000" w:themeColor="text1"/>
                <w:sz w:val="18"/>
                <w:szCs w:val="18"/>
                <w:lang w:eastAsia="zh-CN"/>
              </w:rPr>
              <w:t>制</w:t>
            </w:r>
            <w:r>
              <w:rPr>
                <w:rFonts w:eastAsia="仿宋_GB2312"/>
                <w:color w:val="000000" w:themeColor="text1"/>
                <w:sz w:val="18"/>
                <w:szCs w:val="18"/>
              </w:rPr>
              <w:t>宣传教育的第七个五年规划（2016－2020年）&gt;》（中发〔2016〕11号）、</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p>
        </w:tc>
        <w:tc>
          <w:tcPr>
            <w:tcW w:w="1800"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 xml:space="preserve">■政府网站  ■两微一端    ■广播电视  ■纸质媒体    ■入户/现场     </w:t>
            </w:r>
          </w:p>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■社区/企事业单位/村公示栏（电子屏）</w:t>
            </w:r>
          </w:p>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■其他法律服务网</w:t>
            </w:r>
          </w:p>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2</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辖区内法治文化阵地信息；法治文化作品、产品</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同上</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3</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对在法</w:t>
            </w:r>
            <w:r>
              <w:rPr>
                <w:rFonts w:hint="eastAsia" w:ascii="仿宋_GB2312" w:hAnsi="宋体" w:eastAsia="仿宋_GB2312"/>
                <w:color w:val="000000" w:themeColor="text1"/>
                <w:sz w:val="18"/>
                <w:szCs w:val="18"/>
                <w:lang w:eastAsia="zh-CN"/>
              </w:rPr>
              <w:t>制</w:t>
            </w:r>
            <w:r>
              <w:rPr>
                <w:rFonts w:hint="eastAsia" w:ascii="仿宋_GB2312" w:hAnsi="宋体" w:eastAsia="仿宋_GB2312"/>
                <w:color w:val="000000" w:themeColor="text1"/>
                <w:sz w:val="18"/>
                <w:szCs w:val="18"/>
              </w:rPr>
              <w:t>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同上</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5</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公证</w:t>
            </w:r>
          </w:p>
        </w:tc>
        <w:tc>
          <w:tcPr>
            <w:tcW w:w="1268" w:type="dxa"/>
            <w:vAlign w:val="center"/>
          </w:tcPr>
          <w:p>
            <w:pP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审查（考核）意见</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《公证法》、《公证员执业管理办法》（司法部令第102号）</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 xml:space="preserve">精准推送 </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6</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给予法律援助决定书；不予法律援助决定书；指派通知书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精准推送</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法律援助申请人、受指派的律师事务所或其他组织等</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7</w:t>
            </w:r>
          </w:p>
        </w:tc>
        <w:tc>
          <w:tcPr>
            <w:tcW w:w="1072"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案件补贴审核发放表</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 xml:space="preserve">精准推送 </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8</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处理决定书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精准推送</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9</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10</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行政处罚决定或行政处罚决定书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13</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基层法律服务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评选表彰通知；先进集体和个人申报表（空白表）；拟表彰的先进集体先进个人名单；表彰决定</w:t>
            </w:r>
          </w:p>
        </w:tc>
        <w:tc>
          <w:tcPr>
            <w:tcW w:w="1980"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《基层法律服务所管理办法》(司法部令第137号)</w:t>
            </w:r>
            <w:r>
              <w:rPr>
                <w:rFonts w:eastAsia="仿宋_GB2312"/>
                <w:color w:val="000000" w:themeColor="text1"/>
                <w:sz w:val="18"/>
                <w:szCs w:val="18"/>
              </w:rPr>
              <w:t>、《基层法律服务工作者管理办法》（司法部令第138号）</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14</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人民调解</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《人民调解法》、《</w:t>
            </w:r>
            <w:r>
              <w:rPr>
                <w:rFonts w:hint="eastAsia" w:eastAsia="仿宋_GB2312"/>
                <w:color w:val="000000" w:themeColor="text1"/>
                <w:sz w:val="18"/>
                <w:szCs w:val="18"/>
              </w:rPr>
              <w:t>广西壮族自治区</w:t>
            </w:r>
            <w:r>
              <w:rPr>
                <w:rFonts w:eastAsia="仿宋_GB2312"/>
                <w:color w:val="000000" w:themeColor="text1"/>
                <w:sz w:val="18"/>
                <w:szCs w:val="18"/>
              </w:rPr>
              <w:t>人民调解条例》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 xml:space="preserve">■政府网站   ■两微一端    ■广播电视   </w:t>
            </w:r>
            <w:r>
              <w:rPr>
                <w:rFonts w:hint="eastAsia" w:ascii="仿宋_GB2312" w:hAnsi="宋体" w:eastAsia="仿宋_GB2312"/>
                <w:color w:val="000000" w:themeColor="text1"/>
                <w:sz w:val="18"/>
                <w:szCs w:val="18"/>
              </w:rPr>
              <w:t>■</w:t>
            </w:r>
            <w:r>
              <w:rPr>
                <w:rFonts w:ascii="仿宋_GB2312" w:hAnsi="宋体" w:eastAsia="仿宋_GB2312"/>
                <w:color w:val="000000" w:themeColor="text1"/>
                <w:sz w:val="18"/>
                <w:szCs w:val="18"/>
              </w:rPr>
              <w:t>纸质媒体    ■社区/企事业单位/村公示栏（电子屏）                    ■其他法律服务网</w:t>
            </w:r>
          </w:p>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注：有关公开信息可推送或归集至本省级法律服务网。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15</w:t>
            </w:r>
          </w:p>
        </w:tc>
        <w:tc>
          <w:tcPr>
            <w:tcW w:w="1072" w:type="dxa"/>
            <w:vMerge w:val="restart"/>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查询</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法律法规库网址或链接；典型案例库网址或链接</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《中共中央、国务院转发&lt;中央宣传部、司法部关于在公民中开展法</w:t>
            </w:r>
            <w:r>
              <w:rPr>
                <w:rFonts w:hint="eastAsia" w:eastAsia="仿宋_GB2312"/>
                <w:color w:val="000000" w:themeColor="text1"/>
                <w:sz w:val="18"/>
                <w:szCs w:val="18"/>
                <w:lang w:eastAsia="zh-CN"/>
              </w:rPr>
              <w:t>制</w:t>
            </w:r>
            <w:r>
              <w:rPr>
                <w:rFonts w:eastAsia="仿宋_GB2312"/>
                <w:color w:val="000000" w:themeColor="text1"/>
                <w:sz w:val="18"/>
                <w:szCs w:val="18"/>
              </w:rPr>
              <w:t>宣传教育的第七个五年规划（2016－2020年）&gt;》（中发〔2016〕11号）《</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■政府网站   ■两微一端</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16</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永福县内的律师、公证、基层法律服务、人民调解等法律服务机构和人员有关基本信息、从业信息和信用信息等</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17</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法律咨询</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永福县公共法律服务实体、热线、网络平台法律咨询服务指南</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18</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公共法律服务平台</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永福县公共法律服务中心、乡镇工作站具体地址；12348公共法律服务热线号码；中国法律服务网和广西法律服务网网址；三大平台提供的公共法律服务事项清单及服务指南</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永福县司法局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bl>
    <w:p>
      <w:pPr>
        <w:rPr>
          <w:color w:val="000000" w:themeColor="text1"/>
        </w:rPr>
      </w:pPr>
    </w:p>
    <w:sectPr>
      <w:pgSz w:w="16838" w:h="11906" w:orient="landscape"/>
      <w:pgMar w:top="1134" w:right="1440" w:bottom="1134" w:left="1440"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jMTNjN2E1M2UwMWMyNTQwZWU0MjkxMTc0MjQxZDQifQ=="/>
  </w:docVars>
  <w:rsids>
    <w:rsidRoot w:val="2FE76363"/>
    <w:rsid w:val="00003734"/>
    <w:rsid w:val="000D5B3D"/>
    <w:rsid w:val="002641E5"/>
    <w:rsid w:val="00992926"/>
    <w:rsid w:val="00EA5FA3"/>
    <w:rsid w:val="00ED3A07"/>
    <w:rsid w:val="1D78046D"/>
    <w:rsid w:val="2FE76363"/>
    <w:rsid w:val="3B8460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永福县</Company>
  <Pages>5</Pages>
  <Words>2248</Words>
  <Characters>2310</Characters>
  <Lines>28</Lines>
  <Paragraphs>7</Paragraphs>
  <TotalTime>5</TotalTime>
  <ScaleCrop>false</ScaleCrop>
  <LinksUpToDate>false</LinksUpToDate>
  <CharactersWithSpaces>3362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2020-10-14T10:34:00Z</dcterms:created>
  <dc:creator>yfzy</dc:creator>
  <cp:lastModifiedBy>新闻中心</cp:lastModifiedBy>
  <dcterms:modified xsi:type="dcterms:W3CDTF">2022-07-11T02:15:34Z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8A7AB1874E664C469E301058CC5162E6</vt:lpwstr>
  </property>
</Properties>
</file>