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Times New Roman" w:hAnsi="Times New Roman"/>
                <w:color w:val="000000"/>
              </w:rPr>
            </w:pPr>
            <w:r>
              <w:rPr>
                <w:rFonts w:ascii="Times New Roman" w:hAnsi="宋体"/>
                <w:color w:val="000000"/>
              </w:rPr>
              <w:t>序号</w:t>
            </w:r>
          </w:p>
        </w:tc>
        <w:tc>
          <w:tcPr>
            <w:tcW w:w="23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公开事项</w:t>
            </w:r>
          </w:p>
        </w:tc>
        <w:tc>
          <w:tcPr>
            <w:tcW w:w="162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公开内容（要素）</w:t>
            </w:r>
          </w:p>
        </w:tc>
        <w:tc>
          <w:tcPr>
            <w:tcW w:w="198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公开依据</w:t>
            </w:r>
          </w:p>
        </w:tc>
        <w:tc>
          <w:tcPr>
            <w:tcW w:w="18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公开时限</w:t>
            </w:r>
          </w:p>
        </w:tc>
        <w:tc>
          <w:tcPr>
            <w:tcW w:w="9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公开主体</w:t>
            </w:r>
          </w:p>
        </w:tc>
        <w:tc>
          <w:tcPr>
            <w:tcW w:w="2340" w:type="dxa"/>
            <w:vMerge w:val="restart"/>
            <w:shd w:val="clear" w:color="auto" w:fill="auto"/>
            <w:vAlign w:val="center"/>
          </w:tcPr>
          <w:p>
            <w:pPr>
              <w:jc w:val="center"/>
              <w:rPr>
                <w:rFonts w:ascii="黑体" w:hAnsi="宋体" w:eastAsia="黑体" w:cs="宋体"/>
              </w:rPr>
            </w:pPr>
            <w:r>
              <w:rPr>
                <w:rFonts w:hint="eastAsia" w:ascii="黑体" w:hAnsi="宋体" w:eastAsia="黑体" w:cs="宋体"/>
              </w:rPr>
              <w:t>公开渠道和载体</w:t>
            </w:r>
          </w:p>
        </w:tc>
        <w:tc>
          <w:tcPr>
            <w:tcW w:w="14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公开对象</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公开方式</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Times New Roman" w:hAnsi="Times New Roman"/>
                <w:color w:val="000000"/>
              </w:rPr>
            </w:pP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一级事项</w:t>
            </w:r>
          </w:p>
        </w:tc>
        <w:tc>
          <w:tcPr>
            <w:tcW w:w="14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二级事项</w:t>
            </w:r>
          </w:p>
        </w:tc>
        <w:tc>
          <w:tcPr>
            <w:tcW w:w="1620" w:type="dxa"/>
            <w:vMerge w:val="continue"/>
            <w:vAlign w:val="center"/>
          </w:tcPr>
          <w:p>
            <w:pPr>
              <w:rPr>
                <w:rFonts w:ascii="黑体" w:hAnsi="宋体" w:eastAsia="黑体" w:cs="宋体"/>
                <w:color w:val="000000"/>
              </w:rPr>
            </w:pPr>
          </w:p>
        </w:tc>
        <w:tc>
          <w:tcPr>
            <w:tcW w:w="1980" w:type="dxa"/>
            <w:vMerge w:val="continue"/>
            <w:vAlign w:val="center"/>
          </w:tcPr>
          <w:p>
            <w:pPr>
              <w:rPr>
                <w:rFonts w:ascii="黑体" w:hAnsi="宋体" w:eastAsia="黑体" w:cs="宋体"/>
                <w:color w:val="000000"/>
              </w:rPr>
            </w:pPr>
          </w:p>
        </w:tc>
        <w:tc>
          <w:tcPr>
            <w:tcW w:w="1800" w:type="dxa"/>
            <w:vMerge w:val="continue"/>
            <w:vAlign w:val="center"/>
          </w:tcPr>
          <w:p>
            <w:pPr>
              <w:rPr>
                <w:rFonts w:ascii="黑体" w:hAnsi="宋体" w:eastAsia="黑体" w:cs="宋体"/>
                <w:color w:val="000000"/>
              </w:rPr>
            </w:pPr>
          </w:p>
        </w:tc>
        <w:tc>
          <w:tcPr>
            <w:tcW w:w="900" w:type="dxa"/>
            <w:vMerge w:val="continue"/>
            <w:vAlign w:val="center"/>
          </w:tcPr>
          <w:p>
            <w:pPr>
              <w:rPr>
                <w:rFonts w:ascii="黑体" w:hAnsi="宋体" w:eastAsia="黑体" w:cs="宋体"/>
                <w:color w:val="000000"/>
              </w:rPr>
            </w:pPr>
          </w:p>
        </w:tc>
        <w:tc>
          <w:tcPr>
            <w:tcW w:w="2340" w:type="dxa"/>
            <w:vMerge w:val="continue"/>
            <w:vAlign w:val="center"/>
          </w:tcPr>
          <w:p>
            <w:pPr>
              <w:rPr>
                <w:rFonts w:ascii="黑体" w:hAnsi="宋体" w:eastAsia="黑体" w:cs="宋体"/>
              </w:rPr>
            </w:pP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全社会</w:t>
            </w: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特定群众</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主动</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依申请公开</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县级</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《中共中央、国务院转发&lt;中央宣传部、司法部关于在公民中开展法制宣传教育的第七个五年规划（2016－2020年）&gt;》、各省“七五”普法规划</w:t>
            </w:r>
          </w:p>
        </w:tc>
        <w:tc>
          <w:tcPr>
            <w:tcW w:w="180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1" w:name="_GoBack"/>
            <w:bookmarkEnd w:id="1"/>
            <w:r>
              <w:rPr>
                <w:rFonts w:hint="eastAsia" w:ascii="仿宋_GB2312" w:hAnsi="宋体" w:eastAsia="仿宋_GB2312"/>
                <w:color w:val="000000"/>
                <w:sz w:val="18"/>
                <w:szCs w:val="18"/>
              </w:rPr>
              <w:t>教育的第七个五年规划（2016－2020年）&gt;》《xx省“七五”普法规划》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mNkYTNiZGNlYjhkNGFjMTVlMTliY2Y1MDlmY2YzNGEifQ=="/>
  </w:docVars>
  <w:rsids>
    <w:rsidRoot w:val="00D31D50"/>
    <w:rsid w:val="00233880"/>
    <w:rsid w:val="00323B43"/>
    <w:rsid w:val="003D37D8"/>
    <w:rsid w:val="00413AC8"/>
    <w:rsid w:val="00426133"/>
    <w:rsid w:val="004358AB"/>
    <w:rsid w:val="004A2E1A"/>
    <w:rsid w:val="004C7B0E"/>
    <w:rsid w:val="006C5BAA"/>
    <w:rsid w:val="007518B4"/>
    <w:rsid w:val="008B7726"/>
    <w:rsid w:val="00C756A4"/>
    <w:rsid w:val="00D31D50"/>
    <w:rsid w:val="00D84E62"/>
    <w:rsid w:val="00D9211E"/>
    <w:rsid w:val="046009C7"/>
    <w:rsid w:val="41AA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2641</Words>
  <Characters>2685</Characters>
  <Lines>23</Lines>
  <Paragraphs>6</Paragraphs>
  <TotalTime>0</TotalTime>
  <ScaleCrop>false</ScaleCrop>
  <LinksUpToDate>false</LinksUpToDate>
  <CharactersWithSpaces>2948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卢映村</cp:lastModifiedBy>
  <dcterms:modified xsi:type="dcterms:W3CDTF">2022-07-11T02:14:35Z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7389110674F844E69850F7C6E3766C57</vt:lpwstr>
  </property>
</Properties>
</file>