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rPr>
        <w:t>公共法律服务领域基层政务公开标准目录</w:t>
      </w:r>
      <w:bookmarkEnd w:id="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jc w:val="center"/>
              <w:rPr>
                <w:rFonts w:ascii="Times New Roman" w:hAnsi="Times New Roman"/>
                <w:color w:val="000000"/>
              </w:rPr>
            </w:pPr>
            <w:r>
              <w:rPr>
                <w:rFonts w:ascii="Times New Roman" w:hAnsi="宋体"/>
                <w:color w:val="000000"/>
              </w:rPr>
              <w:t>序号</w:t>
            </w:r>
          </w:p>
        </w:tc>
        <w:tc>
          <w:tcPr>
            <w:tcW w:w="2340" w:type="dxa"/>
            <w:gridSpan w:val="2"/>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公开事项</w:t>
            </w:r>
          </w:p>
        </w:tc>
        <w:tc>
          <w:tcPr>
            <w:tcW w:w="1620" w:type="dxa"/>
            <w:vMerge w:val="restart"/>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公开内容（要素）</w:t>
            </w:r>
          </w:p>
        </w:tc>
        <w:tc>
          <w:tcPr>
            <w:tcW w:w="1980" w:type="dxa"/>
            <w:vMerge w:val="restart"/>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公开依据</w:t>
            </w:r>
          </w:p>
        </w:tc>
        <w:tc>
          <w:tcPr>
            <w:tcW w:w="1800" w:type="dxa"/>
            <w:vMerge w:val="restart"/>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公开时限</w:t>
            </w:r>
          </w:p>
        </w:tc>
        <w:tc>
          <w:tcPr>
            <w:tcW w:w="900" w:type="dxa"/>
            <w:vMerge w:val="restart"/>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公开主体</w:t>
            </w:r>
          </w:p>
        </w:tc>
        <w:tc>
          <w:tcPr>
            <w:tcW w:w="2340" w:type="dxa"/>
            <w:vMerge w:val="restart"/>
            <w:shd w:val="clear" w:color="auto" w:fill="auto"/>
            <w:vAlign w:val="center"/>
          </w:tcPr>
          <w:p>
            <w:pPr>
              <w:jc w:val="center"/>
              <w:rPr>
                <w:rFonts w:ascii="黑体" w:hAnsi="宋体" w:eastAsia="黑体" w:cs="宋体"/>
              </w:rPr>
            </w:pPr>
            <w:r>
              <w:rPr>
                <w:rFonts w:hint="eastAsia" w:ascii="黑体" w:hAnsi="宋体" w:eastAsia="黑体" w:cs="宋体"/>
              </w:rPr>
              <w:t>公开渠道和载体</w:t>
            </w:r>
          </w:p>
        </w:tc>
        <w:tc>
          <w:tcPr>
            <w:tcW w:w="1440" w:type="dxa"/>
            <w:gridSpan w:val="2"/>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公开对象</w:t>
            </w:r>
          </w:p>
        </w:tc>
        <w:tc>
          <w:tcPr>
            <w:tcW w:w="1260" w:type="dxa"/>
            <w:gridSpan w:val="2"/>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公开方式</w:t>
            </w:r>
          </w:p>
        </w:tc>
        <w:tc>
          <w:tcPr>
            <w:tcW w:w="1260" w:type="dxa"/>
            <w:gridSpan w:val="2"/>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Times New Roman" w:hAnsi="Times New Roman"/>
                <w:color w:val="000000"/>
              </w:rPr>
            </w:pPr>
          </w:p>
        </w:tc>
        <w:tc>
          <w:tcPr>
            <w:tcW w:w="90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一级事项</w:t>
            </w:r>
          </w:p>
        </w:tc>
        <w:tc>
          <w:tcPr>
            <w:tcW w:w="144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二级事项</w:t>
            </w:r>
          </w:p>
        </w:tc>
        <w:tc>
          <w:tcPr>
            <w:tcW w:w="1620" w:type="dxa"/>
            <w:vMerge w:val="continue"/>
            <w:vAlign w:val="center"/>
          </w:tcPr>
          <w:p>
            <w:pPr>
              <w:rPr>
                <w:rFonts w:ascii="黑体" w:hAnsi="宋体" w:eastAsia="黑体" w:cs="宋体"/>
                <w:color w:val="000000"/>
              </w:rPr>
            </w:pPr>
          </w:p>
        </w:tc>
        <w:tc>
          <w:tcPr>
            <w:tcW w:w="1980" w:type="dxa"/>
            <w:vMerge w:val="continue"/>
            <w:vAlign w:val="center"/>
          </w:tcPr>
          <w:p>
            <w:pPr>
              <w:rPr>
                <w:rFonts w:ascii="黑体" w:hAnsi="宋体" w:eastAsia="黑体" w:cs="宋体"/>
                <w:color w:val="000000"/>
              </w:rPr>
            </w:pPr>
          </w:p>
        </w:tc>
        <w:tc>
          <w:tcPr>
            <w:tcW w:w="1800" w:type="dxa"/>
            <w:vMerge w:val="continue"/>
            <w:vAlign w:val="center"/>
          </w:tcPr>
          <w:p>
            <w:pPr>
              <w:rPr>
                <w:rFonts w:ascii="黑体" w:hAnsi="宋体" w:eastAsia="黑体" w:cs="宋体"/>
                <w:color w:val="000000"/>
              </w:rPr>
            </w:pPr>
          </w:p>
        </w:tc>
        <w:tc>
          <w:tcPr>
            <w:tcW w:w="900" w:type="dxa"/>
            <w:vMerge w:val="continue"/>
            <w:vAlign w:val="center"/>
          </w:tcPr>
          <w:p>
            <w:pPr>
              <w:rPr>
                <w:rFonts w:ascii="黑体" w:hAnsi="宋体" w:eastAsia="黑体" w:cs="宋体"/>
                <w:color w:val="000000"/>
              </w:rPr>
            </w:pPr>
          </w:p>
        </w:tc>
        <w:tc>
          <w:tcPr>
            <w:tcW w:w="2340" w:type="dxa"/>
            <w:vMerge w:val="continue"/>
            <w:vAlign w:val="center"/>
          </w:tcPr>
          <w:p>
            <w:pPr>
              <w:rPr>
                <w:rFonts w:ascii="黑体" w:hAnsi="宋体" w:eastAsia="黑体" w:cs="宋体"/>
              </w:rPr>
            </w:pPr>
          </w:p>
        </w:tc>
        <w:tc>
          <w:tcPr>
            <w:tcW w:w="54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全社会</w:t>
            </w:r>
          </w:p>
        </w:tc>
        <w:tc>
          <w:tcPr>
            <w:tcW w:w="90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特定群众</w:t>
            </w:r>
          </w:p>
        </w:tc>
        <w:tc>
          <w:tcPr>
            <w:tcW w:w="54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依申请公开</w:t>
            </w:r>
          </w:p>
        </w:tc>
        <w:tc>
          <w:tcPr>
            <w:tcW w:w="54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法制宣传教育</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《中共中央、国务院转发&lt;中央宣传部、司法部关于在公民中开展法制宣传教育的第七个五年规划（2016－2020年）&gt;》、各省“七五”普法规划</w:t>
            </w:r>
          </w:p>
        </w:tc>
        <w:tc>
          <w:tcPr>
            <w:tcW w:w="180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pPr>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pPr>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对在法制宣传教育工作中做出显著成绩的单位和个人进行表彰奖励</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shd w:val="clear" w:color="auto" w:fill="auto"/>
            <w:vAlign w:val="center"/>
          </w:tcPr>
          <w:p>
            <w:pPr>
              <w:jc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《人民调解法》、《xx省人民调解条例》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《中共中央、国务院转发&lt;中央宣传部、司法部关于在公民中开展法制宣传</w:t>
            </w:r>
            <w:bookmarkStart w:id="1" w:name="_GoBack"/>
            <w:bookmarkEnd w:id="1"/>
            <w:r>
              <w:rPr>
                <w:rFonts w:hint="eastAsia" w:ascii="仿宋_GB2312" w:hAnsi="宋体" w:eastAsia="仿宋_GB2312"/>
                <w:color w:val="000000"/>
                <w:sz w:val="18"/>
                <w:szCs w:val="18"/>
              </w:rPr>
              <w:t>教育的第七个五年规划（2016－2020年）&gt;》《xx省“七五”普法规划》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法律咨询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pPr>
    </w:p>
    <w:p>
      <w:pPr>
        <w:spacing w:line="220" w:lineRule="atLeast"/>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mNkYTNiZGNlYjhkNGFjMTVlMTliY2Y1MDlmY2YzNGEifQ=="/>
  </w:docVars>
  <w:rsids>
    <w:rsidRoot w:val="00D31D50"/>
    <w:rsid w:val="00233880"/>
    <w:rsid w:val="00323B43"/>
    <w:rsid w:val="003D37D8"/>
    <w:rsid w:val="00413AC8"/>
    <w:rsid w:val="00426133"/>
    <w:rsid w:val="004358AB"/>
    <w:rsid w:val="004A2E1A"/>
    <w:rsid w:val="004C7B0E"/>
    <w:rsid w:val="006C5BAA"/>
    <w:rsid w:val="007518B4"/>
    <w:rsid w:val="008B7726"/>
    <w:rsid w:val="00C756A4"/>
    <w:rsid w:val="00D31D50"/>
    <w:rsid w:val="00D84E62"/>
    <w:rsid w:val="00D9211E"/>
    <w:rsid w:val="3DDF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0"/>
    <w:pPr>
      <w:keepNext/>
      <w:keepLines/>
      <w:widowControl w:val="0"/>
      <w:adjustRightInd/>
      <w:snapToGrid/>
      <w:spacing w:before="340" w:after="330" w:line="578" w:lineRule="auto"/>
      <w:jc w:val="both"/>
      <w:outlineLvl w:val="0"/>
    </w:pPr>
    <w:rPr>
      <w:rFonts w:ascii="Calibri" w:hAnsi="Calibri"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标题 1 Char"/>
    <w:basedOn w:val="6"/>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2611</Words>
  <Characters>2661</Characters>
  <Lines>23</Lines>
  <Paragraphs>6</Paragraphs>
  <TotalTime>3</TotalTime>
  <ScaleCrop>false</ScaleCrop>
  <LinksUpToDate>false</LinksUpToDate>
  <CharactersWithSpaces>2924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DP</dc:creator>
  <cp:lastModifiedBy>卢映村</cp:lastModifiedBy>
  <dcterms:modified xsi:type="dcterms:W3CDTF">2022-07-05T10:29:46Z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7F1CFC937ED946AEB5D8B23FF8862A02</vt:lpwstr>
  </property>
</Properties>
</file>