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0" w:name="_Toc24724710"/>
      <w:r>
        <w:rPr>
          <w:rFonts w:hint="eastAsia" w:ascii="方正小标宋_GBK" w:hAnsi="方正小标宋_GBK" w:eastAsia="方正小标宋_GBK"/>
          <w:b w:val="0"/>
          <w:bCs w:val="0"/>
          <w:sz w:val="30"/>
        </w:rPr>
        <w:t>公共法律服务领域基层政务公开标准目录</w:t>
      </w:r>
      <w:bookmarkEnd w:id="0"/>
    </w:p>
    <w:tbl>
      <w:tblPr>
        <w:tblStyle w:val="6"/>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440"/>
        <w:gridCol w:w="1620"/>
        <w:gridCol w:w="1980"/>
        <w:gridCol w:w="1800"/>
        <w:gridCol w:w="900"/>
        <w:gridCol w:w="2340"/>
        <w:gridCol w:w="540"/>
        <w:gridCol w:w="900"/>
        <w:gridCol w:w="540"/>
        <w:gridCol w:w="720"/>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restart"/>
            <w:shd w:val="clear" w:color="auto" w:fill="auto"/>
            <w:vAlign w:val="center"/>
          </w:tcPr>
          <w:p>
            <w:pPr>
              <w:jc w:val="center"/>
              <w:rPr>
                <w:rFonts w:ascii="Times New Roman" w:hAnsi="Times New Roman"/>
                <w:color w:val="000000"/>
              </w:rPr>
            </w:pPr>
            <w:r>
              <w:rPr>
                <w:rFonts w:ascii="Times New Roman" w:hAnsi="宋体"/>
                <w:color w:val="000000"/>
              </w:rPr>
              <w:t>序号</w:t>
            </w:r>
          </w:p>
        </w:tc>
        <w:tc>
          <w:tcPr>
            <w:tcW w:w="2340" w:type="dxa"/>
            <w:gridSpan w:val="2"/>
            <w:shd w:val="clear" w:color="auto" w:fill="auto"/>
            <w:vAlign w:val="center"/>
          </w:tcPr>
          <w:p>
            <w:pPr>
              <w:jc w:val="center"/>
              <w:rPr>
                <w:rFonts w:ascii="黑体" w:hAnsi="宋体" w:eastAsia="黑体" w:cs="宋体"/>
                <w:color w:val="000000"/>
              </w:rPr>
            </w:pPr>
            <w:r>
              <w:rPr>
                <w:rFonts w:hint="eastAsia" w:ascii="黑体" w:hAnsi="宋体" w:eastAsia="黑体" w:cs="宋体"/>
                <w:color w:val="000000"/>
              </w:rPr>
              <w:t>公开事项</w:t>
            </w:r>
          </w:p>
        </w:tc>
        <w:tc>
          <w:tcPr>
            <w:tcW w:w="1620" w:type="dxa"/>
            <w:vMerge w:val="restart"/>
            <w:shd w:val="clear" w:color="auto" w:fill="auto"/>
            <w:vAlign w:val="center"/>
          </w:tcPr>
          <w:p>
            <w:pPr>
              <w:jc w:val="center"/>
              <w:rPr>
                <w:rFonts w:ascii="黑体" w:hAnsi="宋体" w:eastAsia="黑体" w:cs="宋体"/>
                <w:color w:val="000000"/>
              </w:rPr>
            </w:pPr>
            <w:r>
              <w:rPr>
                <w:rFonts w:hint="eastAsia" w:ascii="黑体" w:hAnsi="宋体" w:eastAsia="黑体" w:cs="宋体"/>
                <w:color w:val="000000"/>
              </w:rPr>
              <w:t>公开内容（要素）</w:t>
            </w:r>
          </w:p>
        </w:tc>
        <w:tc>
          <w:tcPr>
            <w:tcW w:w="1980" w:type="dxa"/>
            <w:vMerge w:val="restart"/>
            <w:shd w:val="clear" w:color="auto" w:fill="auto"/>
            <w:vAlign w:val="center"/>
          </w:tcPr>
          <w:p>
            <w:pPr>
              <w:jc w:val="center"/>
              <w:rPr>
                <w:rFonts w:ascii="黑体" w:hAnsi="宋体" w:eastAsia="黑体" w:cs="宋体"/>
                <w:color w:val="000000"/>
              </w:rPr>
            </w:pPr>
            <w:r>
              <w:rPr>
                <w:rFonts w:hint="eastAsia" w:ascii="黑体" w:hAnsi="宋体" w:eastAsia="黑体" w:cs="宋体"/>
                <w:color w:val="000000"/>
              </w:rPr>
              <w:t>公开依据</w:t>
            </w:r>
          </w:p>
        </w:tc>
        <w:tc>
          <w:tcPr>
            <w:tcW w:w="1800" w:type="dxa"/>
            <w:vMerge w:val="restart"/>
            <w:shd w:val="clear" w:color="auto" w:fill="auto"/>
            <w:vAlign w:val="center"/>
          </w:tcPr>
          <w:p>
            <w:pPr>
              <w:jc w:val="center"/>
              <w:rPr>
                <w:rFonts w:ascii="黑体" w:hAnsi="宋体" w:eastAsia="黑体" w:cs="宋体"/>
                <w:color w:val="000000"/>
              </w:rPr>
            </w:pPr>
            <w:r>
              <w:rPr>
                <w:rFonts w:hint="eastAsia" w:ascii="黑体" w:hAnsi="宋体" w:eastAsia="黑体" w:cs="宋体"/>
                <w:color w:val="000000"/>
              </w:rPr>
              <w:t>公开时限</w:t>
            </w:r>
          </w:p>
        </w:tc>
        <w:tc>
          <w:tcPr>
            <w:tcW w:w="900" w:type="dxa"/>
            <w:vMerge w:val="restart"/>
            <w:shd w:val="clear" w:color="auto" w:fill="auto"/>
            <w:vAlign w:val="center"/>
          </w:tcPr>
          <w:p>
            <w:pPr>
              <w:jc w:val="center"/>
              <w:rPr>
                <w:rFonts w:ascii="黑体" w:hAnsi="宋体" w:eastAsia="黑体" w:cs="宋体"/>
                <w:color w:val="000000"/>
              </w:rPr>
            </w:pPr>
            <w:r>
              <w:rPr>
                <w:rFonts w:hint="eastAsia" w:ascii="黑体" w:hAnsi="宋体" w:eastAsia="黑体" w:cs="宋体"/>
                <w:color w:val="000000"/>
              </w:rPr>
              <w:t>公开主体</w:t>
            </w:r>
          </w:p>
        </w:tc>
        <w:tc>
          <w:tcPr>
            <w:tcW w:w="2340" w:type="dxa"/>
            <w:vMerge w:val="restart"/>
            <w:shd w:val="clear" w:color="auto" w:fill="auto"/>
            <w:vAlign w:val="center"/>
          </w:tcPr>
          <w:p>
            <w:pPr>
              <w:jc w:val="center"/>
              <w:rPr>
                <w:rFonts w:ascii="黑体" w:hAnsi="宋体" w:eastAsia="黑体" w:cs="宋体"/>
              </w:rPr>
            </w:pPr>
            <w:r>
              <w:rPr>
                <w:rFonts w:hint="eastAsia" w:ascii="黑体" w:hAnsi="宋体" w:eastAsia="黑体" w:cs="宋体"/>
              </w:rPr>
              <w:t>公开渠道和载体</w:t>
            </w:r>
          </w:p>
        </w:tc>
        <w:tc>
          <w:tcPr>
            <w:tcW w:w="1440" w:type="dxa"/>
            <w:gridSpan w:val="2"/>
            <w:shd w:val="clear" w:color="auto" w:fill="auto"/>
            <w:vAlign w:val="center"/>
          </w:tcPr>
          <w:p>
            <w:pPr>
              <w:jc w:val="center"/>
              <w:rPr>
                <w:rFonts w:ascii="黑体" w:hAnsi="宋体" w:eastAsia="黑体" w:cs="宋体"/>
                <w:color w:val="000000"/>
              </w:rPr>
            </w:pPr>
            <w:r>
              <w:rPr>
                <w:rFonts w:hint="eastAsia" w:ascii="黑体" w:hAnsi="宋体" w:eastAsia="黑体" w:cs="宋体"/>
                <w:color w:val="000000"/>
              </w:rPr>
              <w:t>公开对象</w:t>
            </w:r>
          </w:p>
        </w:tc>
        <w:tc>
          <w:tcPr>
            <w:tcW w:w="1260" w:type="dxa"/>
            <w:gridSpan w:val="2"/>
            <w:shd w:val="clear" w:color="auto" w:fill="auto"/>
            <w:vAlign w:val="center"/>
          </w:tcPr>
          <w:p>
            <w:pPr>
              <w:jc w:val="center"/>
              <w:rPr>
                <w:rFonts w:ascii="黑体" w:hAnsi="宋体" w:eastAsia="黑体" w:cs="宋体"/>
                <w:color w:val="000000"/>
              </w:rPr>
            </w:pPr>
            <w:r>
              <w:rPr>
                <w:rFonts w:hint="eastAsia" w:ascii="黑体" w:hAnsi="宋体" w:eastAsia="黑体" w:cs="宋体"/>
                <w:color w:val="000000"/>
              </w:rPr>
              <w:t>公开方式</w:t>
            </w:r>
          </w:p>
        </w:tc>
        <w:tc>
          <w:tcPr>
            <w:tcW w:w="1260" w:type="dxa"/>
            <w:gridSpan w:val="2"/>
            <w:shd w:val="clear" w:color="auto" w:fill="auto"/>
            <w:vAlign w:val="center"/>
          </w:tcPr>
          <w:p>
            <w:pPr>
              <w:jc w:val="center"/>
              <w:rPr>
                <w:rFonts w:ascii="黑体" w:hAnsi="宋体" w:eastAsia="黑体" w:cs="宋体"/>
                <w:color w:val="000000"/>
              </w:rPr>
            </w:pPr>
            <w:r>
              <w:rPr>
                <w:rFonts w:hint="eastAsia" w:ascii="黑体" w:hAnsi="宋体" w:eastAsia="黑体" w:cs="宋体"/>
                <w:color w:val="000000"/>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vAlign w:val="center"/>
          </w:tcPr>
          <w:p>
            <w:pPr>
              <w:rPr>
                <w:rFonts w:ascii="Times New Roman" w:hAnsi="Times New Roman"/>
                <w:color w:val="000000"/>
              </w:rPr>
            </w:pPr>
          </w:p>
        </w:tc>
        <w:tc>
          <w:tcPr>
            <w:tcW w:w="900" w:type="dxa"/>
            <w:shd w:val="clear" w:color="auto" w:fill="auto"/>
            <w:vAlign w:val="center"/>
          </w:tcPr>
          <w:p>
            <w:pPr>
              <w:jc w:val="center"/>
              <w:rPr>
                <w:rFonts w:ascii="黑体" w:hAnsi="宋体" w:eastAsia="黑体" w:cs="宋体"/>
                <w:color w:val="000000"/>
              </w:rPr>
            </w:pPr>
            <w:r>
              <w:rPr>
                <w:rFonts w:hint="eastAsia" w:ascii="黑体" w:hAnsi="宋体" w:eastAsia="黑体" w:cs="宋体"/>
                <w:color w:val="000000"/>
              </w:rPr>
              <w:t>一级事项</w:t>
            </w:r>
          </w:p>
        </w:tc>
        <w:tc>
          <w:tcPr>
            <w:tcW w:w="1440" w:type="dxa"/>
            <w:shd w:val="clear" w:color="auto" w:fill="auto"/>
            <w:vAlign w:val="center"/>
          </w:tcPr>
          <w:p>
            <w:pPr>
              <w:jc w:val="center"/>
              <w:rPr>
                <w:rFonts w:ascii="黑体" w:hAnsi="宋体" w:eastAsia="黑体" w:cs="宋体"/>
                <w:color w:val="000000"/>
              </w:rPr>
            </w:pPr>
            <w:r>
              <w:rPr>
                <w:rFonts w:hint="eastAsia" w:ascii="黑体" w:hAnsi="宋体" w:eastAsia="黑体" w:cs="宋体"/>
                <w:color w:val="000000"/>
              </w:rPr>
              <w:t>二级事项</w:t>
            </w:r>
          </w:p>
        </w:tc>
        <w:tc>
          <w:tcPr>
            <w:tcW w:w="1620" w:type="dxa"/>
            <w:vMerge w:val="continue"/>
            <w:vAlign w:val="center"/>
          </w:tcPr>
          <w:p>
            <w:pPr>
              <w:rPr>
                <w:rFonts w:ascii="黑体" w:hAnsi="宋体" w:eastAsia="黑体" w:cs="宋体"/>
                <w:color w:val="000000"/>
              </w:rPr>
            </w:pPr>
          </w:p>
        </w:tc>
        <w:tc>
          <w:tcPr>
            <w:tcW w:w="1980" w:type="dxa"/>
            <w:vMerge w:val="continue"/>
            <w:vAlign w:val="center"/>
          </w:tcPr>
          <w:p>
            <w:pPr>
              <w:rPr>
                <w:rFonts w:ascii="黑体" w:hAnsi="宋体" w:eastAsia="黑体" w:cs="宋体"/>
                <w:color w:val="000000"/>
              </w:rPr>
            </w:pPr>
          </w:p>
        </w:tc>
        <w:tc>
          <w:tcPr>
            <w:tcW w:w="1800" w:type="dxa"/>
            <w:vMerge w:val="continue"/>
            <w:vAlign w:val="center"/>
          </w:tcPr>
          <w:p>
            <w:pPr>
              <w:rPr>
                <w:rFonts w:ascii="黑体" w:hAnsi="宋体" w:eastAsia="黑体" w:cs="宋体"/>
                <w:color w:val="000000"/>
              </w:rPr>
            </w:pPr>
          </w:p>
        </w:tc>
        <w:tc>
          <w:tcPr>
            <w:tcW w:w="900" w:type="dxa"/>
            <w:vMerge w:val="continue"/>
            <w:vAlign w:val="center"/>
          </w:tcPr>
          <w:p>
            <w:pPr>
              <w:rPr>
                <w:rFonts w:ascii="黑体" w:hAnsi="宋体" w:eastAsia="黑体" w:cs="宋体"/>
                <w:color w:val="000000"/>
              </w:rPr>
            </w:pPr>
          </w:p>
        </w:tc>
        <w:tc>
          <w:tcPr>
            <w:tcW w:w="2340" w:type="dxa"/>
            <w:vMerge w:val="continue"/>
            <w:vAlign w:val="center"/>
          </w:tcPr>
          <w:p>
            <w:pPr>
              <w:rPr>
                <w:rFonts w:ascii="黑体" w:hAnsi="宋体" w:eastAsia="黑体" w:cs="宋体"/>
              </w:rPr>
            </w:pPr>
          </w:p>
        </w:tc>
        <w:tc>
          <w:tcPr>
            <w:tcW w:w="540" w:type="dxa"/>
            <w:shd w:val="clear" w:color="auto" w:fill="auto"/>
            <w:vAlign w:val="center"/>
          </w:tcPr>
          <w:p>
            <w:pPr>
              <w:jc w:val="center"/>
              <w:rPr>
                <w:rFonts w:ascii="黑体" w:hAnsi="宋体" w:eastAsia="黑体" w:cs="宋体"/>
                <w:color w:val="000000"/>
              </w:rPr>
            </w:pPr>
            <w:r>
              <w:rPr>
                <w:rFonts w:hint="eastAsia" w:ascii="黑体" w:hAnsi="宋体" w:eastAsia="黑体" w:cs="宋体"/>
                <w:color w:val="000000"/>
              </w:rPr>
              <w:t>全社会</w:t>
            </w:r>
          </w:p>
        </w:tc>
        <w:tc>
          <w:tcPr>
            <w:tcW w:w="900" w:type="dxa"/>
            <w:shd w:val="clear" w:color="auto" w:fill="auto"/>
            <w:vAlign w:val="center"/>
          </w:tcPr>
          <w:p>
            <w:pPr>
              <w:jc w:val="center"/>
              <w:rPr>
                <w:rFonts w:ascii="黑体" w:hAnsi="宋体" w:eastAsia="黑体" w:cs="宋体"/>
                <w:color w:val="000000"/>
              </w:rPr>
            </w:pPr>
            <w:r>
              <w:rPr>
                <w:rFonts w:hint="eastAsia" w:ascii="黑体" w:hAnsi="宋体" w:eastAsia="黑体" w:cs="宋体"/>
                <w:color w:val="000000"/>
              </w:rPr>
              <w:t>特定群众</w:t>
            </w:r>
          </w:p>
        </w:tc>
        <w:tc>
          <w:tcPr>
            <w:tcW w:w="540" w:type="dxa"/>
            <w:shd w:val="clear" w:color="auto" w:fill="auto"/>
            <w:vAlign w:val="center"/>
          </w:tcPr>
          <w:p>
            <w:pPr>
              <w:jc w:val="center"/>
              <w:rPr>
                <w:rFonts w:ascii="黑体" w:hAnsi="宋体" w:eastAsia="黑体" w:cs="宋体"/>
                <w:color w:val="000000"/>
              </w:rPr>
            </w:pPr>
            <w:r>
              <w:rPr>
                <w:rFonts w:hint="eastAsia" w:ascii="黑体" w:hAnsi="宋体" w:eastAsia="黑体" w:cs="宋体"/>
                <w:color w:val="000000"/>
              </w:rPr>
              <w:t>主动</w:t>
            </w:r>
          </w:p>
        </w:tc>
        <w:tc>
          <w:tcPr>
            <w:tcW w:w="720" w:type="dxa"/>
            <w:shd w:val="clear" w:color="auto" w:fill="auto"/>
            <w:vAlign w:val="center"/>
          </w:tcPr>
          <w:p>
            <w:pPr>
              <w:jc w:val="center"/>
              <w:rPr>
                <w:rFonts w:ascii="黑体" w:hAnsi="宋体" w:eastAsia="黑体" w:cs="宋体"/>
                <w:color w:val="000000"/>
              </w:rPr>
            </w:pPr>
            <w:r>
              <w:rPr>
                <w:rFonts w:hint="eastAsia" w:ascii="黑体" w:hAnsi="宋体" w:eastAsia="黑体" w:cs="宋体"/>
                <w:color w:val="000000"/>
              </w:rPr>
              <w:t>依申请公开</w:t>
            </w:r>
          </w:p>
        </w:tc>
        <w:tc>
          <w:tcPr>
            <w:tcW w:w="540" w:type="dxa"/>
            <w:shd w:val="clear" w:color="auto" w:fill="auto"/>
            <w:vAlign w:val="center"/>
          </w:tcPr>
          <w:p>
            <w:pPr>
              <w:jc w:val="center"/>
              <w:rPr>
                <w:rFonts w:ascii="黑体" w:hAnsi="宋体" w:eastAsia="黑体" w:cs="宋体"/>
                <w:color w:val="000000"/>
              </w:rPr>
            </w:pPr>
            <w:r>
              <w:rPr>
                <w:rFonts w:hint="eastAsia" w:ascii="黑体" w:hAnsi="宋体" w:eastAsia="黑体" w:cs="宋体"/>
                <w:color w:val="000000"/>
              </w:rPr>
              <w:t>县级</w:t>
            </w:r>
          </w:p>
        </w:tc>
        <w:tc>
          <w:tcPr>
            <w:tcW w:w="720" w:type="dxa"/>
            <w:shd w:val="clear" w:color="auto" w:fill="auto"/>
            <w:vAlign w:val="center"/>
          </w:tcPr>
          <w:p>
            <w:pPr>
              <w:jc w:val="center"/>
              <w:rPr>
                <w:rFonts w:ascii="黑体" w:hAnsi="宋体" w:eastAsia="黑体" w:cs="宋体"/>
                <w:color w:val="000000"/>
              </w:rPr>
            </w:pPr>
            <w:r>
              <w:rPr>
                <w:rFonts w:hint="eastAsia" w:ascii="黑体" w:hAnsi="宋体" w:eastAsia="黑体" w:cs="宋体"/>
                <w:color w:val="000000"/>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900" w:type="dxa"/>
            <w:vMerge w:val="restart"/>
            <w:shd w:val="clear" w:color="auto" w:fill="auto"/>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法治宣传教育</w:t>
            </w:r>
          </w:p>
        </w:tc>
        <w:tc>
          <w:tcPr>
            <w:tcW w:w="1440" w:type="dxa"/>
            <w:shd w:val="clear" w:color="auto" w:fill="auto"/>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法律知识普及服务</w:t>
            </w:r>
          </w:p>
        </w:tc>
        <w:tc>
          <w:tcPr>
            <w:tcW w:w="1620" w:type="dxa"/>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法律法规资讯；普法动态资讯；普法讲师团信息等</w:t>
            </w:r>
          </w:p>
        </w:tc>
        <w:tc>
          <w:tcPr>
            <w:tcW w:w="1980" w:type="dxa"/>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《中共中央、国务院转发&lt;中央宣传部、司法部关于在公民中开展法治宣传教育的第七个五年规划（2016－2020年）&gt;》、各省“七五”普法规划</w:t>
            </w:r>
          </w:p>
        </w:tc>
        <w:tc>
          <w:tcPr>
            <w:tcW w:w="1800" w:type="dxa"/>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■纸质媒体    ■入户/现场     </w:t>
            </w:r>
          </w:p>
          <w:p>
            <w:pPr>
              <w:textAlignment w:val="center"/>
              <w:rPr>
                <w:rFonts w:ascii="仿宋_GB2312" w:hAnsi="宋体" w:eastAsia="仿宋_GB2312"/>
                <w:color w:val="000000"/>
                <w:sz w:val="18"/>
                <w:szCs w:val="18"/>
              </w:rPr>
            </w:pPr>
            <w:r>
              <w:rPr>
                <w:rFonts w:ascii="仿宋_GB2312" w:hAnsi="宋体" w:eastAsia="仿宋_GB2312"/>
                <w:color w:val="000000"/>
                <w:sz w:val="18"/>
                <w:szCs w:val="18"/>
              </w:rPr>
              <w:t>■社区/企事业单位/村公示栏（电子屏）</w:t>
            </w:r>
          </w:p>
          <w:p>
            <w:pPr>
              <w:textAlignment w:val="center"/>
              <w:rPr>
                <w:rFonts w:ascii="仿宋_GB2312" w:hAnsi="宋体" w:eastAsia="仿宋_GB2312"/>
                <w:color w:val="000000"/>
                <w:sz w:val="18"/>
                <w:szCs w:val="18"/>
              </w:rPr>
            </w:pPr>
            <w:r>
              <w:rPr>
                <w:rFonts w:ascii="仿宋_GB2312" w:hAnsi="宋体" w:eastAsia="仿宋_GB2312"/>
                <w:color w:val="000000"/>
                <w:sz w:val="18"/>
                <w:szCs w:val="18"/>
              </w:rPr>
              <w:t>■其他法律服务网</w:t>
            </w:r>
          </w:p>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900" w:type="dxa"/>
            <w:vMerge w:val="continue"/>
            <w:shd w:val="clear" w:color="auto" w:fill="auto"/>
            <w:vAlign w:val="center"/>
          </w:tcPr>
          <w:p>
            <w:pPr>
              <w:jc w:val="center"/>
              <w:rPr>
                <w:rFonts w:ascii="仿宋_GB2312" w:hAnsi="宋体" w:eastAsia="仿宋_GB2312"/>
                <w:color w:val="000000"/>
                <w:sz w:val="18"/>
                <w:szCs w:val="18"/>
              </w:rPr>
            </w:pPr>
          </w:p>
        </w:tc>
        <w:tc>
          <w:tcPr>
            <w:tcW w:w="1440" w:type="dxa"/>
            <w:shd w:val="clear" w:color="auto" w:fill="auto"/>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推广法治文化服务</w:t>
            </w:r>
          </w:p>
        </w:tc>
        <w:tc>
          <w:tcPr>
            <w:tcW w:w="1620" w:type="dxa"/>
            <w:vAlign w:val="center"/>
          </w:tcPr>
          <w:p>
            <w:pPr>
              <w:tabs>
                <w:tab w:val="center" w:pos="4153"/>
                <w:tab w:val="right" w:pos="8306"/>
              </w:tabs>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辖区内法治文化阵地信息；法治文化作品、产品</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900" w:type="dxa"/>
            <w:vMerge w:val="continue"/>
            <w:shd w:val="clear" w:color="auto" w:fill="auto"/>
            <w:vAlign w:val="center"/>
          </w:tcPr>
          <w:p>
            <w:pPr>
              <w:jc w:val="center"/>
              <w:rPr>
                <w:rFonts w:ascii="仿宋_GB2312" w:hAnsi="宋体" w:eastAsia="仿宋_GB2312"/>
                <w:color w:val="000000"/>
                <w:sz w:val="18"/>
                <w:szCs w:val="18"/>
              </w:rPr>
            </w:pPr>
          </w:p>
        </w:tc>
        <w:tc>
          <w:tcPr>
            <w:tcW w:w="1440" w:type="dxa"/>
            <w:shd w:val="clear" w:color="auto" w:fill="auto"/>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对在法治宣传教育工作中做出显著成绩的单位和个人进行表彰奖励</w:t>
            </w:r>
          </w:p>
        </w:tc>
        <w:tc>
          <w:tcPr>
            <w:tcW w:w="1620" w:type="dxa"/>
            <w:vAlign w:val="center"/>
          </w:tcPr>
          <w:p>
            <w:pPr>
              <w:tabs>
                <w:tab w:val="center" w:pos="4153"/>
                <w:tab w:val="right" w:pos="8306"/>
              </w:tabs>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律师</w:t>
            </w:r>
          </w:p>
        </w:tc>
        <w:tc>
          <w:tcPr>
            <w:tcW w:w="1440" w:type="dxa"/>
            <w:shd w:val="clear" w:color="auto" w:fill="auto"/>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对没有取得律师执业证书以律师名义从事法律业务行为的处罚</w:t>
            </w:r>
          </w:p>
        </w:tc>
        <w:tc>
          <w:tcPr>
            <w:tcW w:w="1620" w:type="dxa"/>
            <w:vAlign w:val="center"/>
          </w:tcPr>
          <w:p>
            <w:pPr>
              <w:tabs>
                <w:tab w:val="center" w:pos="4153"/>
                <w:tab w:val="right" w:pos="8306"/>
              </w:tabs>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行政处罚决定或行政处罚决定书</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《律师法》</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公证</w:t>
            </w:r>
          </w:p>
        </w:tc>
        <w:tc>
          <w:tcPr>
            <w:tcW w:w="1440" w:type="dxa"/>
            <w:shd w:val="clear" w:color="auto" w:fill="auto"/>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公证员一般任职执业审核、考核任职执业审核</w:t>
            </w:r>
          </w:p>
        </w:tc>
        <w:tc>
          <w:tcPr>
            <w:tcW w:w="1620" w:type="dxa"/>
            <w:vAlign w:val="center"/>
          </w:tcPr>
          <w:p>
            <w:pPr>
              <w:tabs>
                <w:tab w:val="center" w:pos="4153"/>
                <w:tab w:val="right" w:pos="8306"/>
              </w:tabs>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审查（考核）意见</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《公证法》、《公证员执业管理办法》</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■精准推送 </w:t>
            </w:r>
          </w:p>
        </w:tc>
        <w:tc>
          <w:tcPr>
            <w:tcW w:w="540" w:type="dxa"/>
            <w:shd w:val="clear" w:color="auto" w:fill="auto"/>
            <w:vAlign w:val="center"/>
          </w:tcPr>
          <w:p>
            <w:pPr>
              <w:jc w:val="center"/>
              <w:rPr>
                <w:rFonts w:ascii="仿宋_GB2312" w:hAnsi="宋体" w:eastAsia="仿宋_GB2312"/>
                <w:color w:val="000000"/>
                <w:sz w:val="18"/>
                <w:szCs w:val="18"/>
              </w:rPr>
            </w:pP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84" w:hRule="atLeast"/>
        </w:trPr>
        <w:tc>
          <w:tcPr>
            <w:tcW w:w="54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6</w:t>
            </w:r>
          </w:p>
        </w:tc>
        <w:tc>
          <w:tcPr>
            <w:tcW w:w="90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shd w:val="clear" w:color="auto" w:fill="auto"/>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法律援助服务</w:t>
            </w:r>
          </w:p>
        </w:tc>
        <w:tc>
          <w:tcPr>
            <w:tcW w:w="1620" w:type="dxa"/>
            <w:vAlign w:val="center"/>
          </w:tcPr>
          <w:p>
            <w:pPr>
              <w:tabs>
                <w:tab w:val="center" w:pos="4153"/>
                <w:tab w:val="right" w:pos="8306"/>
              </w:tabs>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给予法律援助决定书；不予法律援助决定书；指派通知书</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r>
              <w:rPr>
                <w:rFonts w:hint="eastAsia" w:ascii="仿宋_GB2312" w:hAnsi="宋体" w:eastAsia="仿宋_GB2312"/>
                <w:color w:val="000000"/>
                <w:sz w:val="18"/>
                <w:szCs w:val="18"/>
                <w:lang w:eastAsia="zh-CN"/>
              </w:rPr>
              <w:t>广西壮族自治区</w:t>
            </w:r>
            <w:r>
              <w:rPr>
                <w:rFonts w:hint="eastAsia" w:ascii="仿宋_GB2312" w:hAnsi="宋体" w:eastAsia="仿宋_GB2312"/>
                <w:color w:val="000000"/>
                <w:sz w:val="18"/>
                <w:szCs w:val="18"/>
              </w:rPr>
              <w:t>法律援助条例》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法律援助机构</w:t>
            </w:r>
          </w:p>
        </w:tc>
        <w:tc>
          <w:tcPr>
            <w:tcW w:w="2340" w:type="dxa"/>
            <w:vAlign w:val="center"/>
          </w:tcPr>
          <w:p>
            <w:pPr>
              <w:textAlignment w:val="center"/>
              <w:rPr>
                <w:rFonts w:ascii="仿宋_GB2312" w:hAnsi="宋体" w:eastAsia="仿宋_GB2312"/>
                <w:color w:val="000000"/>
                <w:sz w:val="18"/>
                <w:szCs w:val="18"/>
              </w:rPr>
            </w:pPr>
            <w:r>
              <w:rPr>
                <w:rFonts w:ascii="仿宋_GB2312" w:hAnsi="宋体" w:eastAsia="仿宋_GB2312"/>
                <w:color w:val="000000"/>
                <w:sz w:val="18"/>
                <w:szCs w:val="18"/>
              </w:rPr>
              <w:t>■精准推送</w:t>
            </w:r>
          </w:p>
        </w:tc>
        <w:tc>
          <w:tcPr>
            <w:tcW w:w="540" w:type="dxa"/>
            <w:shd w:val="clear" w:color="auto" w:fill="auto"/>
            <w:vAlign w:val="center"/>
          </w:tcPr>
          <w:p>
            <w:pPr>
              <w:jc w:val="center"/>
              <w:rPr>
                <w:rFonts w:ascii="仿宋_GB2312" w:hAnsi="宋体" w:eastAsia="仿宋_GB2312"/>
                <w:color w:val="000000"/>
                <w:sz w:val="18"/>
                <w:szCs w:val="18"/>
              </w:rPr>
            </w:pP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法律援助申请人、受指派的律师事务所或其他组织等</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900" w:type="dxa"/>
            <w:vMerge w:val="restart"/>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shd w:val="clear" w:color="auto" w:fill="auto"/>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法律援助办案人员办案补贴的审核发放</w:t>
            </w:r>
          </w:p>
        </w:tc>
        <w:tc>
          <w:tcPr>
            <w:tcW w:w="1620" w:type="dxa"/>
            <w:vAlign w:val="center"/>
          </w:tcPr>
          <w:p>
            <w:pPr>
              <w:tabs>
                <w:tab w:val="center" w:pos="4153"/>
                <w:tab w:val="right" w:pos="8306"/>
              </w:tabs>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案件补贴审核发放表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r>
              <w:rPr>
                <w:rFonts w:hint="eastAsia" w:ascii="仿宋_GB2312" w:hAnsi="宋体" w:eastAsia="仿宋_GB2312"/>
                <w:color w:val="000000"/>
                <w:sz w:val="18"/>
                <w:szCs w:val="18"/>
                <w:lang w:eastAsia="zh-CN"/>
              </w:rPr>
              <w:t>广西壮族自治区</w:t>
            </w:r>
            <w:r>
              <w:rPr>
                <w:rFonts w:hint="eastAsia" w:ascii="仿宋_GB2312" w:hAnsi="宋体" w:eastAsia="仿宋_GB2312"/>
                <w:color w:val="000000"/>
                <w:sz w:val="18"/>
                <w:szCs w:val="18"/>
              </w:rPr>
              <w:t>法律援助条例》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自收到公开申请之日起20个工作日内公开</w:t>
            </w:r>
          </w:p>
        </w:tc>
        <w:tc>
          <w:tcPr>
            <w:tcW w:w="90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法律援助机构</w:t>
            </w:r>
          </w:p>
        </w:tc>
        <w:tc>
          <w:tcPr>
            <w:tcW w:w="2340" w:type="dxa"/>
            <w:vAlign w:val="center"/>
          </w:tcPr>
          <w:p>
            <w:pPr>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■精准推送 </w:t>
            </w:r>
          </w:p>
        </w:tc>
        <w:tc>
          <w:tcPr>
            <w:tcW w:w="540" w:type="dxa"/>
            <w:shd w:val="clear" w:color="auto" w:fill="auto"/>
            <w:vAlign w:val="center"/>
          </w:tcPr>
          <w:p>
            <w:pPr>
              <w:jc w:val="center"/>
              <w:rPr>
                <w:rFonts w:ascii="仿宋_GB2312" w:hAnsi="宋体" w:eastAsia="仿宋_GB2312"/>
                <w:color w:val="000000"/>
                <w:sz w:val="18"/>
                <w:szCs w:val="18"/>
              </w:rPr>
            </w:pP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shd w:val="clear" w:color="auto" w:fill="auto"/>
            <w:vAlign w:val="center"/>
          </w:tcPr>
          <w:p>
            <w:pPr>
              <w:jc w:val="cente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8</w:t>
            </w:r>
          </w:p>
        </w:tc>
        <w:tc>
          <w:tcPr>
            <w:tcW w:w="900" w:type="dxa"/>
            <w:vMerge w:val="continue"/>
            <w:shd w:val="clear" w:color="auto" w:fill="auto"/>
            <w:vAlign w:val="center"/>
          </w:tcPr>
          <w:p>
            <w:pPr>
              <w:jc w:val="center"/>
              <w:rPr>
                <w:rFonts w:ascii="仿宋_GB2312" w:hAnsi="宋体" w:eastAsia="仿宋_GB2312"/>
                <w:color w:val="000000"/>
                <w:sz w:val="18"/>
                <w:szCs w:val="18"/>
              </w:rPr>
            </w:pPr>
          </w:p>
        </w:tc>
        <w:tc>
          <w:tcPr>
            <w:tcW w:w="1440" w:type="dxa"/>
            <w:shd w:val="clear" w:color="auto" w:fill="auto"/>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对法律援助机构不予援助决定异议的审查</w:t>
            </w:r>
          </w:p>
        </w:tc>
        <w:tc>
          <w:tcPr>
            <w:tcW w:w="1620" w:type="dxa"/>
            <w:vAlign w:val="center"/>
          </w:tcPr>
          <w:p>
            <w:pPr>
              <w:tabs>
                <w:tab w:val="center" w:pos="4153"/>
                <w:tab w:val="right" w:pos="8306"/>
              </w:tabs>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处理决定书</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r>
              <w:rPr>
                <w:rFonts w:hint="eastAsia" w:ascii="仿宋_GB2312" w:hAnsi="宋体" w:eastAsia="仿宋_GB2312"/>
                <w:color w:val="000000"/>
                <w:sz w:val="18"/>
                <w:szCs w:val="18"/>
                <w:lang w:eastAsia="zh-CN"/>
              </w:rPr>
              <w:t>广西壮族自治区</w:t>
            </w:r>
            <w:r>
              <w:rPr>
                <w:rFonts w:hint="eastAsia" w:ascii="仿宋_GB2312" w:hAnsi="宋体" w:eastAsia="仿宋_GB2312"/>
                <w:color w:val="000000"/>
                <w:sz w:val="18"/>
                <w:szCs w:val="18"/>
              </w:rPr>
              <w:t>法律援助条例》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自收到公开申请之日起20个工作日内公开</w:t>
            </w:r>
          </w:p>
        </w:tc>
        <w:tc>
          <w:tcPr>
            <w:tcW w:w="90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textAlignment w:val="center"/>
              <w:rPr>
                <w:rFonts w:ascii="仿宋_GB2312" w:hAnsi="宋体" w:eastAsia="仿宋_GB2312"/>
                <w:color w:val="000000"/>
                <w:sz w:val="18"/>
                <w:szCs w:val="18"/>
              </w:rPr>
            </w:pPr>
            <w:r>
              <w:rPr>
                <w:rFonts w:ascii="仿宋_GB2312" w:hAnsi="宋体" w:eastAsia="仿宋_GB2312"/>
                <w:color w:val="000000"/>
                <w:sz w:val="18"/>
                <w:szCs w:val="18"/>
              </w:rPr>
              <w:t>■精准推送</w:t>
            </w:r>
          </w:p>
        </w:tc>
        <w:tc>
          <w:tcPr>
            <w:tcW w:w="540" w:type="dxa"/>
            <w:shd w:val="clear" w:color="auto" w:fill="auto"/>
            <w:vAlign w:val="center"/>
          </w:tcPr>
          <w:p>
            <w:pPr>
              <w:jc w:val="center"/>
              <w:rPr>
                <w:rFonts w:ascii="仿宋_GB2312" w:hAnsi="宋体" w:eastAsia="仿宋_GB2312"/>
                <w:color w:val="000000"/>
                <w:sz w:val="18"/>
                <w:szCs w:val="18"/>
              </w:rPr>
            </w:pP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shd w:val="clear" w:color="auto" w:fill="auto"/>
            <w:vAlign w:val="center"/>
          </w:tcPr>
          <w:p>
            <w:pPr>
              <w:jc w:val="cente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9</w:t>
            </w:r>
          </w:p>
        </w:tc>
        <w:tc>
          <w:tcPr>
            <w:tcW w:w="900" w:type="dxa"/>
            <w:vMerge w:val="continue"/>
            <w:shd w:val="clear" w:color="auto" w:fill="auto"/>
            <w:vAlign w:val="center"/>
          </w:tcPr>
          <w:p>
            <w:pPr>
              <w:jc w:val="center"/>
              <w:rPr>
                <w:rFonts w:ascii="仿宋_GB2312" w:hAnsi="宋体" w:eastAsia="仿宋_GB2312"/>
                <w:color w:val="000000"/>
                <w:sz w:val="18"/>
                <w:szCs w:val="18"/>
              </w:rPr>
            </w:pPr>
          </w:p>
        </w:tc>
        <w:tc>
          <w:tcPr>
            <w:tcW w:w="1440" w:type="dxa"/>
            <w:shd w:val="clear" w:color="auto" w:fill="auto"/>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对在法律援助工作中作出突出贡献的组织和个人进行表彰奖励</w:t>
            </w:r>
          </w:p>
        </w:tc>
        <w:tc>
          <w:tcPr>
            <w:tcW w:w="1620" w:type="dxa"/>
            <w:vAlign w:val="center"/>
          </w:tcPr>
          <w:p>
            <w:pPr>
              <w:tabs>
                <w:tab w:val="center" w:pos="4153"/>
                <w:tab w:val="right" w:pos="8306"/>
              </w:tabs>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r>
              <w:rPr>
                <w:rFonts w:hint="eastAsia" w:ascii="仿宋_GB2312" w:hAnsi="宋体" w:eastAsia="仿宋_GB2312"/>
                <w:color w:val="000000"/>
                <w:sz w:val="18"/>
                <w:szCs w:val="18"/>
                <w:lang w:eastAsia="zh-CN"/>
              </w:rPr>
              <w:t>广西壮族自治区</w:t>
            </w:r>
            <w:r>
              <w:rPr>
                <w:rFonts w:hint="eastAsia" w:ascii="仿宋_GB2312" w:hAnsi="宋体" w:eastAsia="仿宋_GB2312"/>
                <w:color w:val="000000"/>
                <w:sz w:val="18"/>
                <w:szCs w:val="18"/>
              </w:rPr>
              <w:t>法律援助条例》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w:t>
            </w:r>
            <w:r>
              <w:rPr>
                <w:rFonts w:hint="eastAsia" w:ascii="仿宋_GB2312" w:hAnsi="宋体" w:eastAsia="仿宋_GB2312"/>
                <w:color w:val="000000"/>
                <w:sz w:val="18"/>
                <w:szCs w:val="18"/>
              </w:rPr>
              <w:t>■</w:t>
            </w:r>
            <w:r>
              <w:rPr>
                <w:rFonts w:ascii="仿宋_GB2312" w:hAnsi="宋体" w:eastAsia="仿宋_GB2312"/>
                <w:color w:val="000000"/>
                <w:sz w:val="18"/>
                <w:szCs w:val="18"/>
              </w:rPr>
              <w:t xml:space="preserve">纸质媒体      ■社区/企事业单位/村公示栏（电子屏）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■其他法律服务网</w:t>
            </w:r>
          </w:p>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10</w:t>
            </w:r>
          </w:p>
        </w:tc>
        <w:tc>
          <w:tcPr>
            <w:tcW w:w="90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shd w:val="clear" w:color="auto" w:fill="auto"/>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对律师事务所拒绝法律援助机构指派，不安排本所律师办理法律援助案件、律师无正当理由拒绝接受、擅自终止法律援助案件或办理法律援助案件收取财物的处罚</w:t>
            </w:r>
          </w:p>
        </w:tc>
        <w:tc>
          <w:tcPr>
            <w:tcW w:w="1620" w:type="dxa"/>
            <w:vAlign w:val="center"/>
          </w:tcPr>
          <w:p>
            <w:pPr>
              <w:tabs>
                <w:tab w:val="center" w:pos="4153"/>
                <w:tab w:val="right" w:pos="8306"/>
              </w:tabs>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行政处罚决定或行政处罚决定书</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r>
              <w:rPr>
                <w:rFonts w:hint="eastAsia" w:ascii="仿宋_GB2312" w:hAnsi="宋体" w:eastAsia="仿宋_GB2312"/>
                <w:color w:val="000000"/>
                <w:sz w:val="18"/>
                <w:szCs w:val="18"/>
                <w:lang w:eastAsia="zh-CN"/>
              </w:rPr>
              <w:t>广西壮族自治区</w:t>
            </w:r>
            <w:r>
              <w:rPr>
                <w:rFonts w:hint="eastAsia" w:ascii="仿宋_GB2312" w:hAnsi="宋体" w:eastAsia="仿宋_GB2312"/>
                <w:color w:val="000000"/>
                <w:sz w:val="18"/>
                <w:szCs w:val="18"/>
              </w:rPr>
              <w:t>法律援助条例》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w:t>
            </w:r>
            <w:r>
              <w:rPr>
                <w:rFonts w:ascii="仿宋_GB2312" w:hAnsi="宋体" w:eastAsia="仿宋_GB2312"/>
                <w:color w:val="000000"/>
                <w:sz w:val="18"/>
                <w:szCs w:val="18"/>
              </w:rPr>
              <w:t xml:space="preserve">两微一端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11</w:t>
            </w: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基层</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shd w:val="clear" w:color="auto" w:fill="auto"/>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基层法律服务工作者执业核准许可</w:t>
            </w:r>
          </w:p>
        </w:tc>
        <w:tc>
          <w:tcPr>
            <w:tcW w:w="1620" w:type="dxa"/>
            <w:vAlign w:val="center"/>
          </w:tcPr>
          <w:p>
            <w:pPr>
              <w:tabs>
                <w:tab w:val="center" w:pos="4153"/>
                <w:tab w:val="right" w:pos="8306"/>
              </w:tabs>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不予受理通知书</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《基层法律服务工作者管理办法》</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■精准推送 </w:t>
            </w:r>
          </w:p>
        </w:tc>
        <w:tc>
          <w:tcPr>
            <w:tcW w:w="540" w:type="dxa"/>
            <w:shd w:val="clear" w:color="auto" w:fill="auto"/>
            <w:vAlign w:val="center"/>
          </w:tcPr>
          <w:p>
            <w:pPr>
              <w:jc w:val="center"/>
              <w:rPr>
                <w:rFonts w:ascii="仿宋_GB2312" w:hAnsi="宋体" w:eastAsia="仿宋_GB2312"/>
                <w:color w:val="000000"/>
                <w:sz w:val="18"/>
                <w:szCs w:val="18"/>
              </w:rPr>
            </w:pP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12</w:t>
            </w:r>
          </w:p>
        </w:tc>
        <w:tc>
          <w:tcPr>
            <w:tcW w:w="90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基层</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shd w:val="clear" w:color="auto" w:fill="auto"/>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对基层法律服务所、基层法律服务工作者违法违规行为的处罚</w:t>
            </w:r>
          </w:p>
        </w:tc>
        <w:tc>
          <w:tcPr>
            <w:tcW w:w="1620" w:type="dxa"/>
            <w:vAlign w:val="center"/>
          </w:tcPr>
          <w:p>
            <w:pPr>
              <w:tabs>
                <w:tab w:val="center" w:pos="4153"/>
                <w:tab w:val="right" w:pos="8306"/>
              </w:tabs>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行政处罚决定或行政处罚决定书</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《基层法律服务所管理办法》、《基层法律服务工作者管理办法》</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textAlignment w:val="center"/>
              <w:rPr>
                <w:rFonts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两微一端</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■纸质媒体   ■其他法律服务网</w:t>
            </w:r>
          </w:p>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13</w:t>
            </w:r>
          </w:p>
        </w:tc>
        <w:tc>
          <w:tcPr>
            <w:tcW w:w="900" w:type="dxa"/>
            <w:vMerge w:val="continue"/>
            <w:shd w:val="clear" w:color="auto" w:fill="auto"/>
            <w:vAlign w:val="center"/>
          </w:tcPr>
          <w:p>
            <w:pPr>
              <w:jc w:val="center"/>
              <w:rPr>
                <w:rFonts w:ascii="仿宋_GB2312" w:hAnsi="宋体" w:eastAsia="仿宋_GB2312"/>
                <w:color w:val="000000"/>
                <w:sz w:val="18"/>
                <w:szCs w:val="18"/>
              </w:rPr>
            </w:pPr>
          </w:p>
        </w:tc>
        <w:tc>
          <w:tcPr>
            <w:tcW w:w="1440" w:type="dxa"/>
            <w:shd w:val="clear" w:color="auto" w:fill="auto"/>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对基层法律服务所、基层法律服务工作者进行表彰奖励</w:t>
            </w:r>
          </w:p>
        </w:tc>
        <w:tc>
          <w:tcPr>
            <w:tcW w:w="1620" w:type="dxa"/>
            <w:vAlign w:val="center"/>
          </w:tcPr>
          <w:p>
            <w:pPr>
              <w:tabs>
                <w:tab w:val="center" w:pos="4153"/>
                <w:tab w:val="right" w:pos="8306"/>
              </w:tabs>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《基层法律服务所管理办法》、《基层法律服务工作者管理办法》</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w:t>
            </w:r>
            <w:r>
              <w:rPr>
                <w:rFonts w:hint="eastAsia" w:ascii="仿宋_GB2312" w:hAnsi="宋体" w:eastAsia="仿宋_GB2312"/>
                <w:color w:val="000000"/>
                <w:sz w:val="18"/>
                <w:szCs w:val="18"/>
              </w:rPr>
              <w:t>■</w:t>
            </w:r>
            <w:r>
              <w:rPr>
                <w:rFonts w:ascii="仿宋_GB2312" w:hAnsi="宋体" w:eastAsia="仿宋_GB2312"/>
                <w:color w:val="000000"/>
                <w:sz w:val="18"/>
                <w:szCs w:val="18"/>
              </w:rPr>
              <w:t xml:space="preserve">纸质媒体     ■社区/企事业单位/村公示栏（电子屏）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■其他法律服务网</w:t>
            </w:r>
          </w:p>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14</w:t>
            </w:r>
          </w:p>
        </w:tc>
        <w:tc>
          <w:tcPr>
            <w:tcW w:w="90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人民调解</w:t>
            </w:r>
          </w:p>
        </w:tc>
        <w:tc>
          <w:tcPr>
            <w:tcW w:w="1440" w:type="dxa"/>
            <w:shd w:val="clear" w:color="auto" w:fill="auto"/>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对有突出贡献的人民调解委员会和人民调解员按照国家规定给予表彰奖励</w:t>
            </w:r>
          </w:p>
        </w:tc>
        <w:tc>
          <w:tcPr>
            <w:tcW w:w="1620" w:type="dxa"/>
            <w:vAlign w:val="center"/>
          </w:tcPr>
          <w:p>
            <w:pPr>
              <w:tabs>
                <w:tab w:val="center" w:pos="4153"/>
                <w:tab w:val="right" w:pos="8306"/>
              </w:tabs>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w:t>
            </w:r>
          </w:p>
          <w:p>
            <w:pPr>
              <w:tabs>
                <w:tab w:val="center" w:pos="4153"/>
                <w:tab w:val="right" w:pos="8306"/>
              </w:tabs>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表彰决定</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《人民调解法》、《</w:t>
            </w:r>
            <w:r>
              <w:rPr>
                <w:rFonts w:hint="eastAsia" w:ascii="仿宋_GB2312" w:hAnsi="宋体" w:eastAsia="仿宋_GB2312"/>
                <w:color w:val="000000"/>
                <w:sz w:val="18"/>
                <w:szCs w:val="18"/>
                <w:lang w:eastAsia="zh-CN"/>
              </w:rPr>
              <w:t>广西壮族自治区</w:t>
            </w:r>
            <w:bookmarkStart w:id="1" w:name="_GoBack"/>
            <w:bookmarkEnd w:id="1"/>
            <w:r>
              <w:rPr>
                <w:rFonts w:hint="eastAsia" w:ascii="仿宋_GB2312" w:hAnsi="宋体" w:eastAsia="仿宋_GB2312"/>
                <w:color w:val="000000"/>
                <w:sz w:val="18"/>
                <w:szCs w:val="18"/>
              </w:rPr>
              <w:t>人民调解条例》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w:t>
            </w:r>
            <w:r>
              <w:rPr>
                <w:rFonts w:hint="eastAsia" w:ascii="仿宋_GB2312" w:hAnsi="宋体" w:eastAsia="仿宋_GB2312"/>
                <w:color w:val="000000"/>
                <w:sz w:val="18"/>
                <w:szCs w:val="18"/>
              </w:rPr>
              <w:t>■</w:t>
            </w:r>
            <w:r>
              <w:rPr>
                <w:rFonts w:ascii="仿宋_GB2312" w:hAnsi="宋体" w:eastAsia="仿宋_GB2312"/>
                <w:color w:val="000000"/>
                <w:sz w:val="18"/>
                <w:szCs w:val="18"/>
              </w:rPr>
              <w:t xml:space="preserve">纸质媒体    ■社区/企事业单位/村公示栏（电子屏）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■其他法律服务网</w:t>
            </w:r>
          </w:p>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15</w:t>
            </w:r>
          </w:p>
        </w:tc>
        <w:tc>
          <w:tcPr>
            <w:tcW w:w="90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查询</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shd w:val="clear" w:color="auto" w:fill="auto"/>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法律法规和案例检索服务</w:t>
            </w:r>
          </w:p>
        </w:tc>
        <w:tc>
          <w:tcPr>
            <w:tcW w:w="1620" w:type="dxa"/>
            <w:vAlign w:val="center"/>
          </w:tcPr>
          <w:p>
            <w:pPr>
              <w:tabs>
                <w:tab w:val="center" w:pos="4153"/>
                <w:tab w:val="right" w:pos="8306"/>
              </w:tabs>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法律法规库网址或链接；典型案例库网址或链接</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《中共中央、国务院转发&lt;中央宣传部、司法部关于在公民中开展法治宣传教育的第七个五年规划（2016－2020年）&gt;》《xx省“七五”普法规划》</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textAlignment w:val="center"/>
              <w:rPr>
                <w:rFonts w:ascii="仿宋_GB2312" w:hAnsi="宋体" w:eastAsia="仿宋_GB2312"/>
                <w:color w:val="000000"/>
                <w:sz w:val="18"/>
                <w:szCs w:val="18"/>
              </w:rPr>
            </w:pPr>
            <w:r>
              <w:rPr>
                <w:rFonts w:ascii="仿宋_GB2312" w:hAnsi="宋体" w:eastAsia="仿宋_GB2312"/>
                <w:color w:val="000000"/>
                <w:sz w:val="18"/>
                <w:szCs w:val="18"/>
              </w:rPr>
              <w:t>■政府网站   ■两微一端</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16</w:t>
            </w:r>
          </w:p>
        </w:tc>
        <w:tc>
          <w:tcPr>
            <w:tcW w:w="900" w:type="dxa"/>
            <w:vMerge w:val="continue"/>
            <w:shd w:val="clear" w:color="auto" w:fill="auto"/>
            <w:vAlign w:val="center"/>
          </w:tcPr>
          <w:p>
            <w:pPr>
              <w:jc w:val="center"/>
              <w:rPr>
                <w:rFonts w:ascii="仿宋_GB2312" w:hAnsi="宋体" w:eastAsia="仿宋_GB2312"/>
                <w:color w:val="000000"/>
                <w:sz w:val="18"/>
                <w:szCs w:val="18"/>
              </w:rPr>
            </w:pPr>
          </w:p>
        </w:tc>
        <w:tc>
          <w:tcPr>
            <w:tcW w:w="1440" w:type="dxa"/>
            <w:shd w:val="clear" w:color="auto" w:fill="auto"/>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法律服务机构、人员信息查询服务</w:t>
            </w:r>
          </w:p>
        </w:tc>
        <w:tc>
          <w:tcPr>
            <w:tcW w:w="1620" w:type="dxa"/>
            <w:vAlign w:val="center"/>
          </w:tcPr>
          <w:p>
            <w:pPr>
              <w:tabs>
                <w:tab w:val="center" w:pos="4153"/>
                <w:tab w:val="right" w:pos="8306"/>
              </w:tabs>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辖区内的律师、公证、基层法律服务、司法鉴定、仲裁、人民调解等法律服务机构和人员有关基本信息、从业信息和信用信息等</w:t>
            </w:r>
          </w:p>
        </w:tc>
        <w:tc>
          <w:tcPr>
            <w:tcW w:w="19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■两微一端    ■公开查阅点 </w:t>
            </w:r>
          </w:p>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r>
              <w:rPr>
                <w:rFonts w:ascii="仿宋_GB2312" w:hAnsi="宋体" w:eastAsia="仿宋_GB2312"/>
                <w:color w:val="000000"/>
                <w:sz w:val="18"/>
                <w:szCs w:val="18"/>
              </w:rPr>
              <w:t>■其他法律服务网</w:t>
            </w:r>
          </w:p>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17</w:t>
            </w: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法律咨询</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shd w:val="clear" w:color="auto" w:fill="auto"/>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公共法律服务实体平台、热线平台、网络平台咨询服务</w:t>
            </w:r>
          </w:p>
        </w:tc>
        <w:tc>
          <w:tcPr>
            <w:tcW w:w="1620" w:type="dxa"/>
            <w:vAlign w:val="center"/>
          </w:tcPr>
          <w:p>
            <w:pPr>
              <w:tabs>
                <w:tab w:val="center" w:pos="4153"/>
                <w:tab w:val="right" w:pos="8306"/>
              </w:tabs>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公共法律服务实体、热线、网络平台法律咨询服务指南</w:t>
            </w:r>
          </w:p>
        </w:tc>
        <w:tc>
          <w:tcPr>
            <w:tcW w:w="19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司法行政部门、公共法律服务中心、公共法律服务工作站</w:t>
            </w:r>
          </w:p>
        </w:tc>
        <w:tc>
          <w:tcPr>
            <w:tcW w:w="2340" w:type="dxa"/>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■公开查阅点  ■政务服务中心  </w:t>
            </w:r>
          </w:p>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p>
          <w:p>
            <w:pPr>
              <w:textAlignment w:val="center"/>
              <w:rPr>
                <w:rFonts w:ascii="仿宋_GB2312" w:hAnsi="宋体" w:eastAsia="仿宋_GB2312"/>
                <w:color w:val="000000"/>
                <w:sz w:val="18"/>
                <w:szCs w:val="18"/>
              </w:rPr>
            </w:pPr>
            <w:r>
              <w:rPr>
                <w:rFonts w:ascii="仿宋_GB2312" w:hAnsi="宋体" w:eastAsia="仿宋_GB2312"/>
                <w:color w:val="000000"/>
                <w:sz w:val="18"/>
                <w:szCs w:val="18"/>
              </w:rPr>
              <w:t>■其他法律服务网</w:t>
            </w:r>
          </w:p>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18</w:t>
            </w: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公共法律服务平台</w:t>
            </w:r>
          </w:p>
        </w:tc>
        <w:tc>
          <w:tcPr>
            <w:tcW w:w="1440" w:type="dxa"/>
            <w:shd w:val="clear" w:color="auto" w:fill="auto"/>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公共法律服务实体、热线、网络平台信息</w:t>
            </w:r>
          </w:p>
        </w:tc>
        <w:tc>
          <w:tcPr>
            <w:tcW w:w="1620" w:type="dxa"/>
            <w:vAlign w:val="center"/>
          </w:tcPr>
          <w:p>
            <w:pPr>
              <w:tabs>
                <w:tab w:val="center" w:pos="4153"/>
                <w:tab w:val="right" w:pos="8306"/>
              </w:tabs>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19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司法行政部门、公共法律服务中心、公共法律服务工作站</w:t>
            </w:r>
          </w:p>
        </w:tc>
        <w:tc>
          <w:tcPr>
            <w:tcW w:w="2340" w:type="dxa"/>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■政府公报    ■两微一端   </w:t>
            </w:r>
          </w:p>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■发布会/听证会 </w:t>
            </w:r>
          </w:p>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■广播电视 </w:t>
            </w:r>
          </w:p>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■公开查阅点    </w:t>
            </w:r>
          </w:p>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p>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r>
              <w:rPr>
                <w:rFonts w:ascii="仿宋_GB2312" w:hAnsi="宋体" w:eastAsia="仿宋_GB2312"/>
                <w:color w:val="000000"/>
                <w:sz w:val="18"/>
                <w:szCs w:val="18"/>
              </w:rPr>
              <w:t>■其他法律服务网</w:t>
            </w:r>
          </w:p>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ascii="Times New Roman" w:hAnsi="Times New Roman" w:eastAsia="方正小标宋_GBK"/>
          <w:sz w:val="28"/>
          <w:szCs w:val="28"/>
        </w:rPr>
      </w:pPr>
    </w:p>
    <w:p>
      <w:pPr>
        <w:spacing w:line="220" w:lineRule="atLeast"/>
      </w:pPr>
    </w:p>
    <w:sectPr>
      <w:pgSz w:w="16838" w:h="11906" w:orient="landscape"/>
      <w:pgMar w:top="1800" w:right="1440" w:bottom="180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_GBK">
    <w:altName w:val="微软雅黑"/>
    <w:panose1 w:val="00000000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D31D50"/>
    <w:rsid w:val="00233880"/>
    <w:rsid w:val="00323B43"/>
    <w:rsid w:val="003D37D8"/>
    <w:rsid w:val="00413AC8"/>
    <w:rsid w:val="00426133"/>
    <w:rsid w:val="004358AB"/>
    <w:rsid w:val="004A2E1A"/>
    <w:rsid w:val="004C7B0E"/>
    <w:rsid w:val="006C5BAA"/>
    <w:rsid w:val="007518B4"/>
    <w:rsid w:val="008B7726"/>
    <w:rsid w:val="00C756A4"/>
    <w:rsid w:val="00D31D50"/>
    <w:rsid w:val="00D84E62"/>
    <w:rsid w:val="00D9211E"/>
    <w:rsid w:val="41AA2A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link w:val="9"/>
    <w:qFormat/>
    <w:uiPriority w:val="0"/>
    <w:pPr>
      <w:keepNext/>
      <w:keepLines/>
      <w:widowControl w:val="0"/>
      <w:adjustRightInd/>
      <w:snapToGrid/>
      <w:spacing w:before="340" w:after="330" w:line="578" w:lineRule="auto"/>
      <w:jc w:val="both"/>
      <w:outlineLvl w:val="0"/>
    </w:pPr>
    <w:rPr>
      <w:rFonts w:ascii="Calibri" w:hAnsi="Calibri" w:eastAsia="宋体" w:cs="Times New Roman"/>
      <w:b/>
      <w:bCs/>
      <w:kern w:val="44"/>
      <w:sz w:val="44"/>
      <w:szCs w:val="44"/>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jc w:val="center"/>
    </w:pPr>
    <w:rPr>
      <w:sz w:val="18"/>
      <w:szCs w:val="18"/>
    </w:rPr>
  </w:style>
  <w:style w:type="character" w:customStyle="1" w:styleId="7">
    <w:name w:val="页眉 Char"/>
    <w:basedOn w:val="5"/>
    <w:link w:val="4"/>
    <w:semiHidden/>
    <w:qFormat/>
    <w:uiPriority w:val="99"/>
    <w:rPr>
      <w:rFonts w:ascii="Tahoma" w:hAnsi="Tahoma"/>
      <w:sz w:val="18"/>
      <w:szCs w:val="18"/>
    </w:rPr>
  </w:style>
  <w:style w:type="character" w:customStyle="1" w:styleId="8">
    <w:name w:val="页脚 Char"/>
    <w:basedOn w:val="5"/>
    <w:link w:val="3"/>
    <w:semiHidden/>
    <w:qFormat/>
    <w:uiPriority w:val="99"/>
    <w:rPr>
      <w:rFonts w:ascii="Tahoma" w:hAnsi="Tahoma"/>
      <w:sz w:val="18"/>
      <w:szCs w:val="18"/>
    </w:rPr>
  </w:style>
  <w:style w:type="character" w:customStyle="1" w:styleId="9">
    <w:name w:val="标题 1 Char"/>
    <w:basedOn w:val="5"/>
    <w:link w:val="2"/>
    <w:uiPriority w:val="0"/>
    <w:rPr>
      <w:rFonts w:ascii="Calibri" w:hAnsi="Calibri" w:eastAsia="宋体" w:cs="Times New Roman"/>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485</Words>
  <Characters>2765</Characters>
  <Lines>23</Lines>
  <Paragraphs>6</Paragraphs>
  <TotalTime>0</TotalTime>
  <ScaleCrop>false</ScaleCrop>
  <LinksUpToDate>false</LinksUpToDate>
  <CharactersWithSpaces>3244</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黄玉红</cp:lastModifiedBy>
  <dcterms:modified xsi:type="dcterms:W3CDTF">2020-11-02T08:15:21Z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