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b/>
        </w:rPr>
      </w:pPr>
      <w:r>
        <w:rPr>
          <w:rFonts w:hint="eastAsia" w:ascii="宋体" w:hAnsi="宋体" w:eastAsia="宋体"/>
          <w:b/>
        </w:rPr>
        <w:t>附件3</w:t>
      </w:r>
    </w:p>
    <w:p>
      <w:pPr>
        <w:widowControl/>
        <w:jc w:val="center"/>
        <w:rPr>
          <w:rFonts w:ascii="宋体" w:hAnsi="宋体" w:eastAsia="宋体"/>
          <w:b/>
          <w:sz w:val="44"/>
          <w:szCs w:val="44"/>
        </w:rPr>
      </w:pPr>
      <w:r>
        <w:rPr>
          <w:rFonts w:hint="eastAsia" w:ascii="宋体" w:hAnsi="宋体" w:eastAsia="宋体"/>
          <w:b/>
          <w:sz w:val="44"/>
          <w:szCs w:val="44"/>
          <w:u w:val="single"/>
        </w:rPr>
        <w:t>龙州</w:t>
      </w:r>
      <w:r>
        <w:rPr>
          <w:rFonts w:hint="eastAsia" w:ascii="宋体" w:hAnsi="宋体" w:eastAsia="宋体"/>
          <w:b/>
          <w:sz w:val="44"/>
          <w:szCs w:val="44"/>
        </w:rPr>
        <w:t>县（市、区）公共法律服务领域基层政务公开事项标准目录</w:t>
      </w:r>
    </w:p>
    <w:p>
      <w:pPr>
        <w:widowControl/>
        <w:jc w:val="left"/>
      </w:pPr>
      <w:r>
        <w:rPr>
          <w:rFonts w:hint="eastAsia"/>
        </w:rPr>
        <w:t>单位（盖章）：龙州县司法局</w:t>
      </w:r>
    </w:p>
    <w:tbl>
      <w:tblPr>
        <w:tblStyle w:val="12"/>
        <w:tblpPr w:leftFromText="180" w:rightFromText="180" w:vertAnchor="text" w:horzAnchor="page" w:tblpX="1504" w:tblpY="118"/>
        <w:tblOverlap w:val="never"/>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56"/>
        <w:gridCol w:w="1417"/>
        <w:gridCol w:w="1636"/>
        <w:gridCol w:w="750"/>
        <w:gridCol w:w="2032"/>
        <w:gridCol w:w="805"/>
        <w:gridCol w:w="1977"/>
        <w:gridCol w:w="832"/>
        <w:gridCol w:w="777"/>
        <w:gridCol w:w="600"/>
        <w:gridCol w:w="941"/>
        <w:gridCol w:w="532"/>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2073"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公开事项</w:t>
            </w:r>
          </w:p>
        </w:tc>
        <w:tc>
          <w:tcPr>
            <w:tcW w:w="1636"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公开内容（要素）</w:t>
            </w:r>
          </w:p>
        </w:tc>
        <w:tc>
          <w:tcPr>
            <w:tcW w:w="750"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公开主体</w:t>
            </w:r>
          </w:p>
        </w:tc>
        <w:tc>
          <w:tcPr>
            <w:tcW w:w="2032"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公开依据</w:t>
            </w:r>
          </w:p>
        </w:tc>
        <w:tc>
          <w:tcPr>
            <w:tcW w:w="805"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公开时限</w:t>
            </w:r>
          </w:p>
        </w:tc>
        <w:tc>
          <w:tcPr>
            <w:tcW w:w="1977" w:type="dxa"/>
            <w:vMerge w:val="restart"/>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公开渠道和载体</w:t>
            </w:r>
          </w:p>
        </w:tc>
        <w:tc>
          <w:tcPr>
            <w:tcW w:w="1609"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公开对象</w:t>
            </w:r>
          </w:p>
        </w:tc>
        <w:tc>
          <w:tcPr>
            <w:tcW w:w="1541"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公开方式</w:t>
            </w:r>
          </w:p>
        </w:tc>
        <w:tc>
          <w:tcPr>
            <w:tcW w:w="1306" w:type="dxa"/>
            <w:gridSpan w:val="2"/>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continue"/>
            <w:vAlign w:val="center"/>
          </w:tcPr>
          <w:p>
            <w:pPr>
              <w:widowControl/>
              <w:jc w:val="center"/>
              <w:rPr>
                <w:rFonts w:ascii="宋体" w:hAnsi="宋体" w:eastAsia="宋体" w:cs="宋体"/>
                <w:b/>
                <w:bCs/>
                <w:sz w:val="24"/>
                <w:szCs w:val="24"/>
              </w:rPr>
            </w:pPr>
          </w:p>
        </w:tc>
        <w:tc>
          <w:tcPr>
            <w:tcW w:w="656"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一级事项</w:t>
            </w:r>
          </w:p>
        </w:tc>
        <w:tc>
          <w:tcPr>
            <w:tcW w:w="1417"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二级事项</w:t>
            </w:r>
          </w:p>
        </w:tc>
        <w:tc>
          <w:tcPr>
            <w:tcW w:w="1636" w:type="dxa"/>
            <w:vMerge w:val="continue"/>
            <w:vAlign w:val="center"/>
          </w:tcPr>
          <w:p>
            <w:pPr>
              <w:widowControl/>
              <w:jc w:val="center"/>
              <w:rPr>
                <w:rFonts w:ascii="宋体" w:hAnsi="宋体" w:eastAsia="宋体" w:cs="宋体"/>
                <w:b/>
                <w:bCs/>
                <w:sz w:val="24"/>
                <w:szCs w:val="24"/>
              </w:rPr>
            </w:pPr>
          </w:p>
        </w:tc>
        <w:tc>
          <w:tcPr>
            <w:tcW w:w="750" w:type="dxa"/>
            <w:vMerge w:val="continue"/>
            <w:vAlign w:val="center"/>
          </w:tcPr>
          <w:p>
            <w:pPr>
              <w:widowControl/>
              <w:jc w:val="center"/>
              <w:rPr>
                <w:rFonts w:ascii="宋体" w:hAnsi="宋体" w:eastAsia="宋体" w:cs="宋体"/>
                <w:b/>
                <w:bCs/>
                <w:sz w:val="24"/>
                <w:szCs w:val="24"/>
              </w:rPr>
            </w:pPr>
          </w:p>
        </w:tc>
        <w:tc>
          <w:tcPr>
            <w:tcW w:w="2032" w:type="dxa"/>
            <w:vMerge w:val="continue"/>
            <w:vAlign w:val="center"/>
          </w:tcPr>
          <w:p>
            <w:pPr>
              <w:widowControl/>
              <w:jc w:val="center"/>
              <w:rPr>
                <w:rFonts w:ascii="宋体" w:hAnsi="宋体" w:eastAsia="宋体" w:cs="宋体"/>
                <w:b/>
                <w:bCs/>
                <w:sz w:val="24"/>
                <w:szCs w:val="24"/>
              </w:rPr>
            </w:pPr>
          </w:p>
        </w:tc>
        <w:tc>
          <w:tcPr>
            <w:tcW w:w="805" w:type="dxa"/>
            <w:vMerge w:val="continue"/>
            <w:vAlign w:val="center"/>
          </w:tcPr>
          <w:p>
            <w:pPr>
              <w:widowControl/>
              <w:jc w:val="center"/>
              <w:rPr>
                <w:rFonts w:ascii="宋体" w:hAnsi="宋体" w:eastAsia="宋体" w:cs="宋体"/>
                <w:b/>
                <w:bCs/>
                <w:sz w:val="24"/>
                <w:szCs w:val="24"/>
              </w:rPr>
            </w:pPr>
          </w:p>
        </w:tc>
        <w:tc>
          <w:tcPr>
            <w:tcW w:w="1977" w:type="dxa"/>
            <w:vMerge w:val="continue"/>
            <w:vAlign w:val="center"/>
          </w:tcPr>
          <w:p>
            <w:pPr>
              <w:widowControl/>
              <w:jc w:val="center"/>
              <w:rPr>
                <w:rFonts w:ascii="宋体" w:hAnsi="宋体" w:eastAsia="宋体" w:cs="宋体"/>
                <w:b/>
                <w:bCs/>
                <w:sz w:val="24"/>
                <w:szCs w:val="24"/>
              </w:rPr>
            </w:pPr>
          </w:p>
        </w:tc>
        <w:tc>
          <w:tcPr>
            <w:tcW w:w="832"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全社会</w:t>
            </w:r>
          </w:p>
        </w:tc>
        <w:tc>
          <w:tcPr>
            <w:tcW w:w="777"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特定群众</w:t>
            </w:r>
          </w:p>
        </w:tc>
        <w:tc>
          <w:tcPr>
            <w:tcW w:w="600"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主动</w:t>
            </w:r>
          </w:p>
        </w:tc>
        <w:tc>
          <w:tcPr>
            <w:tcW w:w="941"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依申请公开</w:t>
            </w:r>
          </w:p>
        </w:tc>
        <w:tc>
          <w:tcPr>
            <w:tcW w:w="532"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县级</w:t>
            </w:r>
          </w:p>
        </w:tc>
        <w:tc>
          <w:tcPr>
            <w:tcW w:w="774" w:type="dxa"/>
            <w:vAlign w:val="center"/>
          </w:tcPr>
          <w:p>
            <w:pPr>
              <w:widowControl/>
              <w:jc w:val="center"/>
              <w:rPr>
                <w:rFonts w:ascii="宋体" w:hAnsi="宋体" w:eastAsia="宋体" w:cs="宋体"/>
                <w:b/>
                <w:bCs/>
                <w:sz w:val="24"/>
                <w:szCs w:val="24"/>
              </w:rPr>
            </w:pPr>
            <w:r>
              <w:rPr>
                <w:rFonts w:hint="eastAsia" w:ascii="宋体" w:hAnsi="宋体" w:eastAsia="宋体" w:cs="宋体"/>
                <w:b/>
                <w:bCs/>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w:t>
            </w:r>
          </w:p>
        </w:tc>
        <w:tc>
          <w:tcPr>
            <w:tcW w:w="656" w:type="dxa"/>
            <w:vMerge w:val="restart"/>
            <w:vAlign w:val="center"/>
          </w:tcPr>
          <w:p>
            <w:pPr>
              <w:widowControl/>
              <w:rPr>
                <w:rFonts w:ascii="宋体" w:hAnsi="宋体" w:eastAsia="宋体" w:cs="宋体"/>
                <w:sz w:val="21"/>
                <w:szCs w:val="21"/>
              </w:rPr>
            </w:pPr>
            <w:r>
              <w:rPr>
                <w:rFonts w:hint="eastAsia" w:ascii="宋体" w:hAnsi="宋体" w:eastAsia="宋体" w:cs="宋体"/>
                <w:sz w:val="21"/>
                <w:szCs w:val="21"/>
              </w:rPr>
              <w:t>法</w:t>
            </w:r>
            <w:r>
              <w:rPr>
                <w:rFonts w:hint="eastAsia" w:ascii="宋体" w:hAnsi="宋体" w:eastAsia="宋体" w:cs="宋体"/>
                <w:sz w:val="21"/>
                <w:szCs w:val="21"/>
                <w:lang w:eastAsia="zh-CN"/>
              </w:rPr>
              <w:t>制</w:t>
            </w:r>
            <w:r>
              <w:rPr>
                <w:rFonts w:hint="eastAsia" w:ascii="宋体" w:hAnsi="宋体" w:eastAsia="宋体" w:cs="宋体"/>
                <w:sz w:val="21"/>
                <w:szCs w:val="21"/>
              </w:rPr>
              <w:t>宣传教育</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法律知识普及服务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1.法律法规资讯；</w:t>
            </w:r>
          </w:p>
          <w:p>
            <w:pPr>
              <w:widowControl/>
              <w:rPr>
                <w:rFonts w:ascii="宋体" w:hAnsi="宋体" w:eastAsia="宋体" w:cs="宋体"/>
                <w:sz w:val="21"/>
                <w:szCs w:val="21"/>
              </w:rPr>
            </w:pPr>
            <w:r>
              <w:rPr>
                <w:rFonts w:hint="eastAsia" w:ascii="宋体" w:hAnsi="宋体" w:eastAsia="宋体" w:cs="宋体"/>
                <w:sz w:val="21"/>
                <w:szCs w:val="21"/>
              </w:rPr>
              <w:t>2.普法动态资讯</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r>
              <w:rPr>
                <w:rFonts w:hint="eastAsia" w:ascii="宋体" w:hAnsi="宋体" w:eastAsia="宋体" w:cs="宋体"/>
                <w:sz w:val="21"/>
                <w:szCs w:val="21"/>
              </w:rPr>
              <w:t xml:space="preserve"> </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2</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推广</w:t>
            </w:r>
            <w:bookmarkStart w:id="0" w:name="_GoBack"/>
            <w:bookmarkEnd w:id="0"/>
            <w:r>
              <w:rPr>
                <w:rFonts w:hint="eastAsia" w:ascii="宋体" w:hAnsi="宋体" w:eastAsia="宋体" w:cs="宋体"/>
                <w:sz w:val="21"/>
                <w:szCs w:val="21"/>
              </w:rPr>
              <w:t>法治文化服务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1.辖区内法治文化阵地信息；</w:t>
            </w:r>
          </w:p>
          <w:p>
            <w:pPr>
              <w:widowControl/>
              <w:rPr>
                <w:rFonts w:ascii="宋体" w:hAnsi="宋体" w:eastAsia="宋体" w:cs="宋体"/>
                <w:sz w:val="21"/>
                <w:szCs w:val="21"/>
              </w:rPr>
            </w:pPr>
            <w:r>
              <w:rPr>
                <w:rFonts w:hint="eastAsia" w:ascii="宋体" w:hAnsi="宋体" w:eastAsia="宋体" w:cs="宋体"/>
                <w:sz w:val="21"/>
                <w:szCs w:val="21"/>
              </w:rPr>
              <w:t>2.法治文化作品、产品</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其他 </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3</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对在法</w:t>
            </w:r>
            <w:r>
              <w:rPr>
                <w:rFonts w:hint="eastAsia" w:ascii="宋体" w:hAnsi="宋体" w:eastAsia="宋体" w:cs="宋体"/>
                <w:sz w:val="21"/>
                <w:szCs w:val="21"/>
                <w:lang w:eastAsia="zh-CN"/>
              </w:rPr>
              <w:t>制</w:t>
            </w:r>
            <w:r>
              <w:rPr>
                <w:rFonts w:hint="eastAsia" w:ascii="宋体" w:hAnsi="宋体" w:eastAsia="宋体" w:cs="宋体"/>
                <w:sz w:val="21"/>
                <w:szCs w:val="21"/>
              </w:rPr>
              <w:t>宣传教育工作中做出显著成绩的单位和个人进行表彰奖励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其他 </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4</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公证</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公证员一般任职执业审核、考核任职执业审核</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审查（考核）意见</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《中华人民共和国公证法》《公证员执业管理办法》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5</w:t>
            </w:r>
          </w:p>
        </w:tc>
        <w:tc>
          <w:tcPr>
            <w:tcW w:w="656" w:type="dxa"/>
            <w:vMerge w:val="restart"/>
            <w:vAlign w:val="center"/>
          </w:tcPr>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p>
          <w:p>
            <w:pPr>
              <w:widowControl/>
              <w:jc w:val="center"/>
              <w:rPr>
                <w:rFonts w:ascii="宋体" w:hAnsi="宋体" w:eastAsia="宋体" w:cs="宋体"/>
                <w:sz w:val="21"/>
                <w:szCs w:val="21"/>
              </w:rPr>
            </w:pPr>
            <w:r>
              <w:rPr>
                <w:rFonts w:hint="eastAsia" w:ascii="宋体" w:hAnsi="宋体" w:eastAsia="宋体" w:cs="宋体"/>
                <w:sz w:val="21"/>
                <w:szCs w:val="21"/>
              </w:rPr>
              <w:t>法律援助</w:t>
            </w: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法律援助服务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1.给予法律援助决定书；</w:t>
            </w:r>
          </w:p>
          <w:p>
            <w:pPr>
              <w:widowControl/>
              <w:rPr>
                <w:rFonts w:hint="eastAsia" w:ascii="宋体" w:hAnsi="宋体" w:eastAsia="宋体" w:cs="宋体"/>
                <w:sz w:val="21"/>
                <w:szCs w:val="21"/>
                <w:lang w:eastAsia="zh-CN"/>
              </w:rPr>
            </w:pPr>
            <w:r>
              <w:rPr>
                <w:rFonts w:hint="eastAsia" w:ascii="宋体" w:hAnsi="宋体" w:eastAsia="宋体" w:cs="宋体"/>
                <w:sz w:val="21"/>
                <w:szCs w:val="21"/>
              </w:rPr>
              <w:t>2.不予法律援助决定书；</w:t>
            </w:r>
          </w:p>
          <w:p>
            <w:pPr>
              <w:widowControl/>
              <w:rPr>
                <w:rFonts w:ascii="宋体" w:hAnsi="宋体" w:eastAsia="宋体" w:cs="宋体"/>
                <w:sz w:val="21"/>
                <w:szCs w:val="21"/>
              </w:rPr>
            </w:pPr>
            <w:r>
              <w:rPr>
                <w:rFonts w:hint="eastAsia" w:ascii="宋体" w:hAnsi="宋体" w:eastAsia="宋体" w:cs="宋体"/>
                <w:sz w:val="21"/>
                <w:szCs w:val="21"/>
              </w:rPr>
              <w:t>3.指派通知书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法律援助机构</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法律援助申请人、受指派的律师事务所或其他组织等</w:t>
            </w: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6</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法律援助办案人员办案补贴的审核发放</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案件补贴审核发放表</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法律援助机构</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p>
        </w:tc>
        <w:tc>
          <w:tcPr>
            <w:tcW w:w="941"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7</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对法律援助机构不予援助决定异议的审查</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处理决定书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p>
        </w:tc>
        <w:tc>
          <w:tcPr>
            <w:tcW w:w="941"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8</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jc w:val="center"/>
              <w:rPr>
                <w:rFonts w:ascii="宋体" w:hAnsi="宋体" w:eastAsia="宋体" w:cs="宋体"/>
                <w:sz w:val="21"/>
                <w:szCs w:val="21"/>
              </w:rPr>
            </w:pPr>
            <w:r>
              <w:rPr>
                <w:rFonts w:hint="eastAsia" w:ascii="宋体" w:hAnsi="宋体" w:eastAsia="宋体" w:cs="宋体"/>
                <w:sz w:val="21"/>
                <w:szCs w:val="21"/>
              </w:rPr>
              <w:t>对在法律援助工作中作出突出贡献的组织和个人进行表彰奖励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《法律援助条例》《广西壮族自治区法律援助条例》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9</w:t>
            </w:r>
          </w:p>
        </w:tc>
        <w:tc>
          <w:tcPr>
            <w:tcW w:w="656" w:type="dxa"/>
            <w:vMerge w:val="restart"/>
            <w:vAlign w:val="center"/>
          </w:tcPr>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p>
          <w:p>
            <w:pPr>
              <w:widowControl/>
              <w:rPr>
                <w:rFonts w:ascii="宋体" w:hAnsi="宋体" w:eastAsia="宋体" w:cs="宋体"/>
                <w:sz w:val="21"/>
                <w:szCs w:val="21"/>
              </w:rPr>
            </w:pPr>
            <w:r>
              <w:rPr>
                <w:rFonts w:hint="eastAsia" w:ascii="宋体" w:hAnsi="宋体" w:eastAsia="宋体" w:cs="宋体"/>
                <w:sz w:val="21"/>
                <w:szCs w:val="21"/>
              </w:rPr>
              <w:t>基层法律服务</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基层法律服务工作者执业核准许可</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不予受理通知书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《基层法律服务工作者管理办法》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hint="eastAsia" w:ascii="宋体" w:hAnsi="宋体" w:eastAsia="宋体" w:cs="宋体"/>
                <w:sz w:val="21"/>
                <w:szCs w:val="21"/>
                <w:lang w:eastAsia="zh-CN"/>
              </w:rPr>
            </w:pPr>
            <w:r>
              <w:rPr>
                <w:rFonts w:hint="eastAsia" w:ascii="宋体" w:hAnsi="宋体" w:eastAsia="宋体" w:cs="宋体"/>
                <w:sz w:val="21"/>
                <w:szCs w:val="21"/>
              </w:rPr>
              <w:t>□其他</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 xml:space="preserve">精准推送   </w:t>
            </w:r>
          </w:p>
        </w:tc>
        <w:tc>
          <w:tcPr>
            <w:tcW w:w="832" w:type="dxa"/>
            <w:vAlign w:val="center"/>
          </w:tcPr>
          <w:p>
            <w:pPr>
              <w:widowControl/>
              <w:rPr>
                <w:rFonts w:ascii="宋体" w:hAnsi="宋体" w:eastAsia="宋体" w:cs="宋体"/>
                <w:sz w:val="21"/>
                <w:szCs w:val="21"/>
              </w:rPr>
            </w:pPr>
          </w:p>
        </w:tc>
        <w:tc>
          <w:tcPr>
            <w:tcW w:w="777" w:type="dxa"/>
            <w:vAlign w:val="center"/>
          </w:tcPr>
          <w:p>
            <w:pPr>
              <w:widowControl/>
              <w:rPr>
                <w:rFonts w:ascii="宋体" w:hAnsi="宋体" w:eastAsia="宋体" w:cs="宋体"/>
                <w:sz w:val="21"/>
                <w:szCs w:val="21"/>
              </w:rPr>
            </w:pPr>
            <w:r>
              <w:rPr>
                <w:rFonts w:hint="eastAsia" w:ascii="宋体" w:hAnsi="宋体" w:eastAsia="宋体" w:cs="宋体"/>
                <w:sz w:val="21"/>
                <w:szCs w:val="21"/>
              </w:rPr>
              <w:t>申请人</w:t>
            </w: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10</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对基层法律服务所、基层法律服务工作者违法违规行为的处罚</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行政处罚决定或行政处罚决定书</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《基层法律服务所管理办法》《基层法律服务工作者管理办法》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11</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对基层法律服务所、基层法律服务工作者进行表彰奖励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《基层法律服务所管理办法》《基层法律服务工作者管理办法》</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12</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人民调解</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对有突出贡献的人民调解委员会和人民调解员按照国家规定给予表彰奖励</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1.评选表彰通知；</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2.先进集体和个人申报表（空白表）；</w:t>
            </w:r>
          </w:p>
          <w:p>
            <w:pPr>
              <w:widowControl/>
              <w:rPr>
                <w:rFonts w:hint="eastAsia" w:ascii="宋体" w:hAnsi="宋体" w:eastAsia="宋体" w:cs="宋体"/>
                <w:sz w:val="21"/>
                <w:szCs w:val="21"/>
                <w:lang w:eastAsia="zh-CN"/>
              </w:rPr>
            </w:pPr>
            <w:r>
              <w:rPr>
                <w:rFonts w:hint="eastAsia" w:ascii="宋体" w:hAnsi="宋体" w:eastAsia="宋体" w:cs="宋体"/>
                <w:sz w:val="21"/>
                <w:szCs w:val="21"/>
              </w:rPr>
              <w:t>3.拟表彰的先进集体先进个人名单；</w:t>
            </w:r>
          </w:p>
          <w:p>
            <w:pPr>
              <w:widowControl/>
              <w:rPr>
                <w:rFonts w:ascii="宋体" w:hAnsi="宋体" w:eastAsia="宋体" w:cs="宋体"/>
                <w:sz w:val="21"/>
                <w:szCs w:val="21"/>
              </w:rPr>
            </w:pPr>
            <w:r>
              <w:rPr>
                <w:rFonts w:hint="eastAsia" w:ascii="宋体" w:hAnsi="宋体" w:eastAsia="宋体" w:cs="宋体"/>
                <w:sz w:val="21"/>
                <w:szCs w:val="21"/>
              </w:rPr>
              <w:t>4.表彰决定</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《中华人民共和国人民调解法》《人民调解委员会及调解员奖励办法》（司法部令第15号）</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13</w:t>
            </w:r>
          </w:p>
        </w:tc>
        <w:tc>
          <w:tcPr>
            <w:tcW w:w="656" w:type="dxa"/>
            <w:vMerge w:val="restart"/>
            <w:vAlign w:val="center"/>
          </w:tcPr>
          <w:p>
            <w:pPr>
              <w:widowControl/>
              <w:rPr>
                <w:rFonts w:ascii="宋体" w:hAnsi="宋体" w:eastAsia="宋体" w:cs="宋体"/>
                <w:sz w:val="21"/>
                <w:szCs w:val="21"/>
              </w:rPr>
            </w:pPr>
            <w:r>
              <w:rPr>
                <w:rFonts w:hint="eastAsia" w:ascii="宋体" w:hAnsi="宋体" w:eastAsia="宋体" w:cs="宋体"/>
                <w:sz w:val="21"/>
                <w:szCs w:val="21"/>
              </w:rPr>
              <w:t>法律查询服务</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法律法规和案例检索服务</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1.法律法规库网址或链接；</w:t>
            </w:r>
          </w:p>
          <w:p>
            <w:pPr>
              <w:widowControl/>
              <w:rPr>
                <w:rFonts w:ascii="宋体" w:hAnsi="宋体" w:eastAsia="宋体" w:cs="宋体"/>
                <w:sz w:val="21"/>
                <w:szCs w:val="21"/>
              </w:rPr>
            </w:pPr>
            <w:r>
              <w:rPr>
                <w:rFonts w:hint="eastAsia" w:ascii="宋体" w:hAnsi="宋体" w:eastAsia="宋体" w:cs="宋体"/>
                <w:sz w:val="21"/>
                <w:szCs w:val="21"/>
              </w:rPr>
              <w:t>2.典型案例库网址或链接</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《中共中央、国务院转发&lt;中央宣传部、司法部关于在公民中开展法</w:t>
            </w:r>
            <w:r>
              <w:rPr>
                <w:rFonts w:hint="eastAsia" w:ascii="宋体" w:hAnsi="宋体" w:eastAsia="宋体" w:cs="宋体"/>
                <w:sz w:val="21"/>
                <w:szCs w:val="21"/>
                <w:lang w:eastAsia="zh-CN"/>
              </w:rPr>
              <w:t>制</w:t>
            </w:r>
            <w:r>
              <w:rPr>
                <w:rFonts w:hint="eastAsia" w:ascii="宋体" w:hAnsi="宋体" w:eastAsia="宋体" w:cs="宋体"/>
                <w:sz w:val="21"/>
                <w:szCs w:val="21"/>
              </w:rPr>
              <w:t>宣传教育的第七个五年规划（2016-2020年）&gt;》《广西“七五”普法规划》《崇左市“七五”普法规划》</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rPr>
            </w:pPr>
            <w:r>
              <w:rPr>
                <w:rFonts w:hint="eastAsia" w:ascii="宋体" w:hAnsi="宋体" w:eastAsia="宋体" w:cs="宋体"/>
                <w:sz w:val="21"/>
                <w:szCs w:val="21"/>
              </w:rPr>
              <w:t xml:space="preserve">□其他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14</w:t>
            </w:r>
          </w:p>
        </w:tc>
        <w:tc>
          <w:tcPr>
            <w:tcW w:w="656" w:type="dxa"/>
            <w:vMerge w:val="continue"/>
            <w:vAlign w:val="center"/>
          </w:tcPr>
          <w:p>
            <w:pPr>
              <w:widowControl/>
              <w:rPr>
                <w:rFonts w:ascii="宋体" w:hAnsi="宋体" w:eastAsia="宋体" w:cs="宋体"/>
                <w:sz w:val="21"/>
                <w:szCs w:val="21"/>
              </w:rPr>
            </w:pP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法律服务机构、人员信息查询服务</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辖区内的律师、公证、基层法律服务、司法鉴定、仲裁、人民调解等法律服务人员有关基本信息、从业信息和信用信息等</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《政府信息公开条例》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15</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法律咨询服务</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公共法律服务实体平台、热线平台、网络平台咨询服务</w:t>
            </w:r>
          </w:p>
        </w:tc>
        <w:tc>
          <w:tcPr>
            <w:tcW w:w="1636"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公共法律服务实体、热线、网络平台法律咨询服务指南</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司法行政部门、公共法律服务中心、公共法律服务工作站</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《政府信息公开条例》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ascii="宋体" w:hAnsi="宋体" w:eastAsia="宋体" w:cs="宋体"/>
                <w:sz w:val="21"/>
                <w:szCs w:val="21"/>
              </w:rPr>
            </w:pPr>
            <w:r>
              <w:rPr>
                <w:rFonts w:hint="eastAsia" w:ascii="宋体" w:hAnsi="宋体" w:eastAsia="宋体" w:cs="宋体"/>
                <w:sz w:val="21"/>
                <w:szCs w:val="21"/>
              </w:rPr>
              <w:t>16</w:t>
            </w:r>
          </w:p>
        </w:tc>
        <w:tc>
          <w:tcPr>
            <w:tcW w:w="656"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公共法律服务平台</w:t>
            </w:r>
          </w:p>
        </w:tc>
        <w:tc>
          <w:tcPr>
            <w:tcW w:w="1417" w:type="dxa"/>
            <w:vAlign w:val="center"/>
          </w:tcPr>
          <w:p>
            <w:pPr>
              <w:widowControl/>
              <w:rPr>
                <w:rFonts w:ascii="宋体" w:hAnsi="宋体" w:eastAsia="宋体" w:cs="宋体"/>
                <w:sz w:val="21"/>
                <w:szCs w:val="21"/>
              </w:rPr>
            </w:pPr>
            <w:r>
              <w:rPr>
                <w:rFonts w:hint="eastAsia" w:ascii="宋体" w:hAnsi="宋体" w:eastAsia="宋体" w:cs="宋体"/>
                <w:sz w:val="21"/>
                <w:szCs w:val="21"/>
              </w:rPr>
              <w:t>公共法律服务实体、热线、网络平台信息</w:t>
            </w:r>
          </w:p>
        </w:tc>
        <w:tc>
          <w:tcPr>
            <w:tcW w:w="1636"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1.公共法律服务平台建设相关规划；</w:t>
            </w:r>
          </w:p>
          <w:p>
            <w:pPr>
              <w:widowControl/>
              <w:rPr>
                <w:rFonts w:hint="eastAsia" w:ascii="宋体" w:hAnsi="宋体" w:eastAsia="宋体" w:cs="宋体"/>
                <w:sz w:val="21"/>
                <w:szCs w:val="21"/>
                <w:lang w:eastAsia="zh-CN"/>
              </w:rPr>
            </w:pPr>
            <w:r>
              <w:rPr>
                <w:rFonts w:hint="eastAsia" w:ascii="宋体" w:hAnsi="宋体" w:eastAsia="宋体" w:cs="宋体"/>
                <w:sz w:val="21"/>
                <w:szCs w:val="21"/>
              </w:rPr>
              <w:t>2.公共法律服务中心、工作站具体地址；</w:t>
            </w:r>
          </w:p>
          <w:p>
            <w:pPr>
              <w:widowControl/>
              <w:rPr>
                <w:rFonts w:hint="eastAsia" w:ascii="宋体" w:hAnsi="宋体" w:eastAsia="宋体" w:cs="宋体"/>
                <w:sz w:val="21"/>
                <w:szCs w:val="21"/>
                <w:lang w:eastAsia="zh-CN"/>
              </w:rPr>
            </w:pPr>
            <w:r>
              <w:rPr>
                <w:rFonts w:hint="eastAsia" w:ascii="宋体" w:hAnsi="宋体" w:eastAsia="宋体" w:cs="宋体"/>
                <w:sz w:val="21"/>
                <w:szCs w:val="21"/>
              </w:rPr>
              <w:t>3.12348公共法律服务热线号码；</w:t>
            </w:r>
          </w:p>
          <w:p>
            <w:pPr>
              <w:widowControl/>
              <w:rPr>
                <w:rFonts w:hint="eastAsia" w:ascii="宋体" w:hAnsi="宋体" w:eastAsia="宋体" w:cs="宋体"/>
                <w:sz w:val="21"/>
                <w:szCs w:val="21"/>
                <w:lang w:eastAsia="zh-CN"/>
              </w:rPr>
            </w:pPr>
            <w:r>
              <w:rPr>
                <w:rFonts w:hint="eastAsia" w:ascii="宋体" w:hAnsi="宋体" w:eastAsia="宋体" w:cs="宋体"/>
                <w:sz w:val="21"/>
                <w:szCs w:val="21"/>
              </w:rPr>
              <w:t>4.中国法律服务网和广西法律服务网网址；</w:t>
            </w:r>
          </w:p>
          <w:p>
            <w:pPr>
              <w:widowControl/>
              <w:rPr>
                <w:rFonts w:ascii="宋体" w:hAnsi="宋体" w:eastAsia="宋体" w:cs="宋体"/>
                <w:sz w:val="21"/>
                <w:szCs w:val="21"/>
              </w:rPr>
            </w:pPr>
            <w:r>
              <w:rPr>
                <w:rFonts w:hint="eastAsia" w:ascii="宋体" w:hAnsi="宋体" w:eastAsia="宋体" w:cs="宋体"/>
                <w:sz w:val="21"/>
                <w:szCs w:val="21"/>
              </w:rPr>
              <w:t>5.三大平台提供的公共法律服务事项清单及服务指南</w:t>
            </w:r>
          </w:p>
        </w:tc>
        <w:tc>
          <w:tcPr>
            <w:tcW w:w="750" w:type="dxa"/>
            <w:vAlign w:val="center"/>
          </w:tcPr>
          <w:p>
            <w:pPr>
              <w:widowControl/>
              <w:rPr>
                <w:rFonts w:ascii="宋体" w:hAnsi="宋体" w:eastAsia="宋体" w:cs="宋体"/>
                <w:sz w:val="21"/>
                <w:szCs w:val="21"/>
              </w:rPr>
            </w:pPr>
            <w:r>
              <w:rPr>
                <w:rFonts w:hint="eastAsia" w:ascii="宋体" w:hAnsi="宋体" w:eastAsia="宋体" w:cs="宋体"/>
                <w:sz w:val="21"/>
                <w:szCs w:val="21"/>
              </w:rPr>
              <w:t>司法行政部门公共法律服务中心、公共法律服务工作站</w:t>
            </w:r>
          </w:p>
        </w:tc>
        <w:tc>
          <w:tcPr>
            <w:tcW w:w="2032" w:type="dxa"/>
            <w:vAlign w:val="center"/>
          </w:tcPr>
          <w:p>
            <w:pPr>
              <w:widowControl/>
              <w:rPr>
                <w:rFonts w:ascii="宋体" w:hAnsi="宋体" w:eastAsia="宋体" w:cs="宋体"/>
                <w:sz w:val="21"/>
                <w:szCs w:val="21"/>
              </w:rPr>
            </w:pPr>
            <w:r>
              <w:rPr>
                <w:rFonts w:hint="eastAsia" w:ascii="宋体" w:hAnsi="宋体" w:eastAsia="宋体" w:cs="宋体"/>
                <w:sz w:val="21"/>
                <w:szCs w:val="21"/>
              </w:rPr>
              <w:t>《政府信息公开条例》</w:t>
            </w:r>
          </w:p>
        </w:tc>
        <w:tc>
          <w:tcPr>
            <w:tcW w:w="805" w:type="dxa"/>
            <w:vAlign w:val="center"/>
          </w:tcPr>
          <w:p>
            <w:pPr>
              <w:widowControl/>
              <w:rPr>
                <w:rFonts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ascii="宋体" w:hAnsi="宋体" w:eastAsia="宋体" w:cs="宋体"/>
                <w:sz w:val="21"/>
                <w:szCs w:val="21"/>
              </w:rPr>
            </w:pPr>
            <w:r>
              <w:rPr>
                <w:rFonts w:hint="eastAsia" w:ascii="宋体" w:hAnsi="宋体" w:eastAsia="宋体" w:cs="宋体"/>
                <w:sz w:val="21"/>
                <w:szCs w:val="21"/>
                <w:shd w:val="clear" w:color="auto" w:fill="FFFFFF"/>
              </w:rPr>
              <w:t>☑</w:t>
            </w:r>
            <w:r>
              <w:rPr>
                <w:rFonts w:hint="eastAsia" w:ascii="宋体" w:hAnsi="宋体" w:eastAsia="宋体" w:cs="宋体"/>
                <w:sz w:val="21"/>
                <w:szCs w:val="21"/>
              </w:rPr>
              <w:t xml:space="preserve">政府网站                                                                                                                                                                                                       </w:t>
            </w:r>
          </w:p>
          <w:p>
            <w:pPr>
              <w:widowControl/>
              <w:rPr>
                <w:rFonts w:ascii="宋体" w:hAnsi="宋体" w:eastAsia="宋体" w:cs="宋体"/>
                <w:sz w:val="21"/>
                <w:szCs w:val="21"/>
              </w:rPr>
            </w:pPr>
            <w:r>
              <w:rPr>
                <w:rFonts w:hint="eastAsia" w:ascii="宋体" w:hAnsi="宋体" w:eastAsia="宋体" w:cs="宋体"/>
                <w:sz w:val="21"/>
                <w:szCs w:val="21"/>
              </w:rPr>
              <w:t>☑公开查阅点</w:t>
            </w:r>
          </w:p>
          <w:p>
            <w:pPr>
              <w:widowControl/>
              <w:rPr>
                <w:rFonts w:ascii="宋体" w:hAnsi="宋体" w:eastAsia="宋体" w:cs="宋体"/>
                <w:sz w:val="21"/>
                <w:szCs w:val="21"/>
              </w:rPr>
            </w:pPr>
            <w:r>
              <w:rPr>
                <w:rFonts w:hint="eastAsia" w:ascii="宋体" w:hAnsi="宋体" w:eastAsia="宋体" w:cs="宋体"/>
                <w:sz w:val="21"/>
                <w:szCs w:val="21"/>
              </w:rPr>
              <w:sym w:font="Wingdings 2" w:char="00A3"/>
            </w:r>
            <w:r>
              <w:rPr>
                <w:rFonts w:hint="eastAsia" w:ascii="宋体" w:hAnsi="宋体" w:eastAsia="宋体" w:cs="宋体"/>
                <w:sz w:val="21"/>
                <w:szCs w:val="21"/>
              </w:rPr>
              <w:t xml:space="preserve">政务服务中心 </w:t>
            </w:r>
          </w:p>
          <w:p>
            <w:pPr>
              <w:widowControl/>
              <w:rPr>
                <w:rFonts w:ascii="宋体" w:hAnsi="宋体" w:eastAsia="宋体" w:cs="宋体"/>
                <w:sz w:val="21"/>
                <w:szCs w:val="21"/>
              </w:rPr>
            </w:pPr>
            <w:r>
              <w:rPr>
                <w:rFonts w:hint="eastAsia" w:ascii="宋体" w:hAnsi="宋体" w:eastAsia="宋体" w:cs="宋体"/>
                <w:sz w:val="21"/>
                <w:szCs w:val="21"/>
              </w:rPr>
              <w:t>□公示栏</w:t>
            </w:r>
          </w:p>
          <w:p>
            <w:pPr>
              <w:widowControl/>
              <w:rPr>
                <w:rFonts w:ascii="宋体" w:hAnsi="宋体" w:eastAsia="宋体" w:cs="宋体"/>
                <w:sz w:val="21"/>
                <w:szCs w:val="21"/>
              </w:rPr>
            </w:pPr>
            <w:r>
              <w:rPr>
                <w:rFonts w:hint="eastAsia" w:ascii="宋体" w:hAnsi="宋体" w:eastAsia="宋体" w:cs="宋体"/>
                <w:sz w:val="21"/>
                <w:szCs w:val="21"/>
              </w:rPr>
              <w:t>□发布会</w:t>
            </w:r>
          </w:p>
          <w:p>
            <w:pPr>
              <w:widowControl/>
              <w:rPr>
                <w:rFonts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两微一端</w:t>
            </w:r>
          </w:p>
          <w:p>
            <w:pPr>
              <w:widowControl/>
              <w:rPr>
                <w:rFonts w:ascii="宋体" w:hAnsi="宋体" w:eastAsia="宋体" w:cs="宋体"/>
                <w:sz w:val="21"/>
                <w:szCs w:val="21"/>
                <w:u w:val="single"/>
              </w:rPr>
            </w:pPr>
            <w:r>
              <w:rPr>
                <w:rFonts w:hint="eastAsia" w:ascii="宋体" w:hAnsi="宋体" w:eastAsia="宋体" w:cs="宋体"/>
                <w:sz w:val="21"/>
                <w:szCs w:val="21"/>
              </w:rPr>
              <w:sym w:font="Wingdings 2" w:char="0052"/>
            </w:r>
            <w:r>
              <w:rPr>
                <w:rFonts w:hint="eastAsia" w:ascii="宋体" w:hAnsi="宋体" w:eastAsia="宋体" w:cs="宋体"/>
                <w:sz w:val="21"/>
                <w:szCs w:val="21"/>
              </w:rPr>
              <w:t>其他</w:t>
            </w:r>
            <w:r>
              <w:rPr>
                <w:rFonts w:hint="eastAsia" w:ascii="宋体" w:hAnsi="宋体" w:eastAsia="宋体" w:cs="宋体"/>
                <w:sz w:val="21"/>
                <w:szCs w:val="21"/>
                <w:u w:val="single"/>
              </w:rPr>
              <w:t>法律服务网</w:t>
            </w:r>
          </w:p>
          <w:p>
            <w:pPr>
              <w:widowControl/>
              <w:rPr>
                <w:rFonts w:ascii="宋体" w:hAnsi="宋体" w:eastAsia="宋体" w:cs="宋体"/>
                <w:sz w:val="21"/>
                <w:szCs w:val="21"/>
              </w:rPr>
            </w:pPr>
            <w:r>
              <w:rPr>
                <w:rFonts w:hint="eastAsia" w:ascii="宋体" w:hAnsi="宋体" w:eastAsia="宋体" w:cs="宋体"/>
                <w:sz w:val="21"/>
                <w:szCs w:val="21"/>
              </w:rPr>
              <w:t xml:space="preserve">注：有关公开信息可推送或归集至广西法律服务网    </w:t>
            </w:r>
          </w:p>
        </w:tc>
        <w:tc>
          <w:tcPr>
            <w:tcW w:w="8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ascii="宋体" w:hAnsi="宋体" w:eastAsia="宋体" w:cs="宋体"/>
                <w:sz w:val="21"/>
                <w:szCs w:val="21"/>
              </w:rPr>
            </w:pPr>
          </w:p>
        </w:tc>
        <w:tc>
          <w:tcPr>
            <w:tcW w:w="600"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ascii="宋体" w:hAnsi="宋体" w:eastAsia="宋体" w:cs="宋体"/>
                <w:sz w:val="21"/>
                <w:szCs w:val="21"/>
              </w:rPr>
            </w:pPr>
          </w:p>
        </w:tc>
        <w:tc>
          <w:tcPr>
            <w:tcW w:w="532"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ascii="宋体" w:hAnsi="宋体" w:eastAsia="宋体" w:cs="宋体"/>
                <w:sz w:val="21"/>
                <w:szCs w:val="21"/>
              </w:rPr>
            </w:pPr>
            <w:r>
              <w:rPr>
                <w:rFonts w:hint="eastAsia" w:ascii="宋体" w:hAnsi="宋体" w:eastAsia="宋体" w:cs="宋体"/>
                <w:sz w:val="21"/>
                <w:szCs w:val="21"/>
              </w:rPr>
              <w:t>√</w:t>
            </w:r>
          </w:p>
        </w:tc>
      </w:tr>
    </w:tbl>
    <w:p>
      <w:pPr>
        <w:widowControl/>
        <w:jc w:val="left"/>
        <w:rPr>
          <w:rFonts w:ascii="宋体" w:hAnsi="宋体" w:eastAsia="宋体"/>
          <w:b/>
        </w:rPr>
      </w:pPr>
    </w:p>
    <w:p>
      <w:pPr>
        <w:widowControl/>
        <w:jc w:val="left"/>
        <w:rPr>
          <w:rFonts w:eastAsiaTheme="minorEastAsia"/>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Ligh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2M5YzY3MTE1MmUxNmQyYTQ2YzU2YTdkZDI1NzAifQ=="/>
  </w:docVars>
  <w:rsids>
    <w:rsidRoot w:val="002B48C5"/>
    <w:rsid w:val="00001E38"/>
    <w:rsid w:val="0000335C"/>
    <w:rsid w:val="000130F4"/>
    <w:rsid w:val="00014395"/>
    <w:rsid w:val="0002328D"/>
    <w:rsid w:val="00024251"/>
    <w:rsid w:val="0003067A"/>
    <w:rsid w:val="000330AF"/>
    <w:rsid w:val="00033F22"/>
    <w:rsid w:val="000342E1"/>
    <w:rsid w:val="0003556A"/>
    <w:rsid w:val="00057088"/>
    <w:rsid w:val="000674FB"/>
    <w:rsid w:val="0007041D"/>
    <w:rsid w:val="0007746A"/>
    <w:rsid w:val="00081BE5"/>
    <w:rsid w:val="00083AFF"/>
    <w:rsid w:val="00085FA8"/>
    <w:rsid w:val="00095196"/>
    <w:rsid w:val="000A00E7"/>
    <w:rsid w:val="000A03E1"/>
    <w:rsid w:val="000A6162"/>
    <w:rsid w:val="000A7A39"/>
    <w:rsid w:val="000D3265"/>
    <w:rsid w:val="000E5639"/>
    <w:rsid w:val="000E5B92"/>
    <w:rsid w:val="000E632D"/>
    <w:rsid w:val="000F1A1B"/>
    <w:rsid w:val="000F59AE"/>
    <w:rsid w:val="001109EA"/>
    <w:rsid w:val="001157B1"/>
    <w:rsid w:val="00134DB9"/>
    <w:rsid w:val="0014012E"/>
    <w:rsid w:val="00155FFC"/>
    <w:rsid w:val="001567FD"/>
    <w:rsid w:val="00180BF9"/>
    <w:rsid w:val="00194526"/>
    <w:rsid w:val="001A0F5D"/>
    <w:rsid w:val="001A12D0"/>
    <w:rsid w:val="001A30C9"/>
    <w:rsid w:val="001A4357"/>
    <w:rsid w:val="001B387D"/>
    <w:rsid w:val="001B455C"/>
    <w:rsid w:val="001C1AB8"/>
    <w:rsid w:val="001C239E"/>
    <w:rsid w:val="001C3642"/>
    <w:rsid w:val="001D4825"/>
    <w:rsid w:val="001E5C56"/>
    <w:rsid w:val="001F255F"/>
    <w:rsid w:val="001F27B8"/>
    <w:rsid w:val="001F5F7B"/>
    <w:rsid w:val="00200376"/>
    <w:rsid w:val="00207F32"/>
    <w:rsid w:val="00207FE4"/>
    <w:rsid w:val="00213686"/>
    <w:rsid w:val="00214077"/>
    <w:rsid w:val="00225FA5"/>
    <w:rsid w:val="00231FB2"/>
    <w:rsid w:val="00240D9C"/>
    <w:rsid w:val="00241E88"/>
    <w:rsid w:val="002420F7"/>
    <w:rsid w:val="00244644"/>
    <w:rsid w:val="002620E0"/>
    <w:rsid w:val="00272743"/>
    <w:rsid w:val="00272929"/>
    <w:rsid w:val="002963AA"/>
    <w:rsid w:val="00296890"/>
    <w:rsid w:val="002A7259"/>
    <w:rsid w:val="002B2B33"/>
    <w:rsid w:val="002B3404"/>
    <w:rsid w:val="002B48C5"/>
    <w:rsid w:val="002C2C8F"/>
    <w:rsid w:val="002C67B0"/>
    <w:rsid w:val="002C6935"/>
    <w:rsid w:val="002E4273"/>
    <w:rsid w:val="002E791B"/>
    <w:rsid w:val="0031381B"/>
    <w:rsid w:val="003202FA"/>
    <w:rsid w:val="00321F36"/>
    <w:rsid w:val="00325BDD"/>
    <w:rsid w:val="00335FB2"/>
    <w:rsid w:val="00347F2D"/>
    <w:rsid w:val="0036103A"/>
    <w:rsid w:val="003640B3"/>
    <w:rsid w:val="00372BAB"/>
    <w:rsid w:val="00375F80"/>
    <w:rsid w:val="00393D05"/>
    <w:rsid w:val="003953A3"/>
    <w:rsid w:val="003A7D64"/>
    <w:rsid w:val="003C245C"/>
    <w:rsid w:val="003C7F80"/>
    <w:rsid w:val="003E02BE"/>
    <w:rsid w:val="003E6177"/>
    <w:rsid w:val="003F6637"/>
    <w:rsid w:val="004056CF"/>
    <w:rsid w:val="004122D2"/>
    <w:rsid w:val="00415DD9"/>
    <w:rsid w:val="00417220"/>
    <w:rsid w:val="0042369A"/>
    <w:rsid w:val="00423AA4"/>
    <w:rsid w:val="0042444B"/>
    <w:rsid w:val="00427869"/>
    <w:rsid w:val="00431336"/>
    <w:rsid w:val="0044066F"/>
    <w:rsid w:val="004417DB"/>
    <w:rsid w:val="004434C1"/>
    <w:rsid w:val="004438F6"/>
    <w:rsid w:val="0045137F"/>
    <w:rsid w:val="004540AD"/>
    <w:rsid w:val="0046083D"/>
    <w:rsid w:val="00466F71"/>
    <w:rsid w:val="00491C46"/>
    <w:rsid w:val="004925A1"/>
    <w:rsid w:val="004958BA"/>
    <w:rsid w:val="004A1B3F"/>
    <w:rsid w:val="004A2D04"/>
    <w:rsid w:val="004B1AC2"/>
    <w:rsid w:val="004B6546"/>
    <w:rsid w:val="004C0324"/>
    <w:rsid w:val="004C3C0A"/>
    <w:rsid w:val="004E4818"/>
    <w:rsid w:val="004E5B29"/>
    <w:rsid w:val="004F577A"/>
    <w:rsid w:val="004F6D2B"/>
    <w:rsid w:val="0050577A"/>
    <w:rsid w:val="005156E9"/>
    <w:rsid w:val="005243B2"/>
    <w:rsid w:val="00533517"/>
    <w:rsid w:val="00536554"/>
    <w:rsid w:val="00542C50"/>
    <w:rsid w:val="00551E05"/>
    <w:rsid w:val="00565557"/>
    <w:rsid w:val="0057052F"/>
    <w:rsid w:val="00574B95"/>
    <w:rsid w:val="00582B4A"/>
    <w:rsid w:val="00585986"/>
    <w:rsid w:val="00591220"/>
    <w:rsid w:val="00594801"/>
    <w:rsid w:val="005956BE"/>
    <w:rsid w:val="00596DD6"/>
    <w:rsid w:val="005A7349"/>
    <w:rsid w:val="005C09A7"/>
    <w:rsid w:val="005C3D8F"/>
    <w:rsid w:val="005D7FD0"/>
    <w:rsid w:val="005E2A5C"/>
    <w:rsid w:val="005E2BC4"/>
    <w:rsid w:val="005E4D82"/>
    <w:rsid w:val="005E5200"/>
    <w:rsid w:val="005E5354"/>
    <w:rsid w:val="00601A63"/>
    <w:rsid w:val="0060788A"/>
    <w:rsid w:val="006148E0"/>
    <w:rsid w:val="0062154F"/>
    <w:rsid w:val="00650720"/>
    <w:rsid w:val="00674907"/>
    <w:rsid w:val="00674CE4"/>
    <w:rsid w:val="00676589"/>
    <w:rsid w:val="006817D2"/>
    <w:rsid w:val="00690FAF"/>
    <w:rsid w:val="00693A2C"/>
    <w:rsid w:val="00695B67"/>
    <w:rsid w:val="006A712F"/>
    <w:rsid w:val="006B191B"/>
    <w:rsid w:val="006B45D9"/>
    <w:rsid w:val="006B7871"/>
    <w:rsid w:val="006D4B92"/>
    <w:rsid w:val="006D7B99"/>
    <w:rsid w:val="006E285C"/>
    <w:rsid w:val="006E330C"/>
    <w:rsid w:val="006F0785"/>
    <w:rsid w:val="007003A4"/>
    <w:rsid w:val="00704F0E"/>
    <w:rsid w:val="00710972"/>
    <w:rsid w:val="00710E05"/>
    <w:rsid w:val="00713886"/>
    <w:rsid w:val="00714274"/>
    <w:rsid w:val="007306AE"/>
    <w:rsid w:val="00760694"/>
    <w:rsid w:val="00762D38"/>
    <w:rsid w:val="00771AB5"/>
    <w:rsid w:val="00777D54"/>
    <w:rsid w:val="0078109E"/>
    <w:rsid w:val="00782FEC"/>
    <w:rsid w:val="00793F32"/>
    <w:rsid w:val="00794165"/>
    <w:rsid w:val="007A61FB"/>
    <w:rsid w:val="007A6554"/>
    <w:rsid w:val="007B4471"/>
    <w:rsid w:val="007B5797"/>
    <w:rsid w:val="007C0E82"/>
    <w:rsid w:val="007D3159"/>
    <w:rsid w:val="007D5023"/>
    <w:rsid w:val="007E0A68"/>
    <w:rsid w:val="007E1D91"/>
    <w:rsid w:val="007E1E74"/>
    <w:rsid w:val="007F6E38"/>
    <w:rsid w:val="00814DDB"/>
    <w:rsid w:val="008172C6"/>
    <w:rsid w:val="00822C94"/>
    <w:rsid w:val="008234EC"/>
    <w:rsid w:val="00826FFC"/>
    <w:rsid w:val="0083083E"/>
    <w:rsid w:val="00834379"/>
    <w:rsid w:val="008473E5"/>
    <w:rsid w:val="00851CE7"/>
    <w:rsid w:val="00853D1B"/>
    <w:rsid w:val="00863AB9"/>
    <w:rsid w:val="00864955"/>
    <w:rsid w:val="0086565A"/>
    <w:rsid w:val="008713BC"/>
    <w:rsid w:val="0088121C"/>
    <w:rsid w:val="00881EB4"/>
    <w:rsid w:val="008A159B"/>
    <w:rsid w:val="008A4744"/>
    <w:rsid w:val="008B52EA"/>
    <w:rsid w:val="008B68A6"/>
    <w:rsid w:val="008C3D77"/>
    <w:rsid w:val="008D0935"/>
    <w:rsid w:val="008D47AC"/>
    <w:rsid w:val="008E1CDE"/>
    <w:rsid w:val="008E259E"/>
    <w:rsid w:val="008E30A6"/>
    <w:rsid w:val="008F0BD2"/>
    <w:rsid w:val="008F12F9"/>
    <w:rsid w:val="00907F4A"/>
    <w:rsid w:val="009104B4"/>
    <w:rsid w:val="00911A97"/>
    <w:rsid w:val="0091616A"/>
    <w:rsid w:val="00922274"/>
    <w:rsid w:val="009277C9"/>
    <w:rsid w:val="0093689B"/>
    <w:rsid w:val="0095560D"/>
    <w:rsid w:val="00961480"/>
    <w:rsid w:val="0097196A"/>
    <w:rsid w:val="009752E5"/>
    <w:rsid w:val="00975C4B"/>
    <w:rsid w:val="00983655"/>
    <w:rsid w:val="009A2E24"/>
    <w:rsid w:val="009A4850"/>
    <w:rsid w:val="009A79AB"/>
    <w:rsid w:val="009B39C9"/>
    <w:rsid w:val="009C7138"/>
    <w:rsid w:val="009C71DC"/>
    <w:rsid w:val="009D3B38"/>
    <w:rsid w:val="009E66CF"/>
    <w:rsid w:val="009F2927"/>
    <w:rsid w:val="00A003F0"/>
    <w:rsid w:val="00A04EA1"/>
    <w:rsid w:val="00A0578A"/>
    <w:rsid w:val="00A2345F"/>
    <w:rsid w:val="00A23F5C"/>
    <w:rsid w:val="00A2516C"/>
    <w:rsid w:val="00A26C31"/>
    <w:rsid w:val="00A3357E"/>
    <w:rsid w:val="00A337FF"/>
    <w:rsid w:val="00A35D3F"/>
    <w:rsid w:val="00A4753D"/>
    <w:rsid w:val="00A51733"/>
    <w:rsid w:val="00A55093"/>
    <w:rsid w:val="00A809A5"/>
    <w:rsid w:val="00A87A9E"/>
    <w:rsid w:val="00A91267"/>
    <w:rsid w:val="00A93D94"/>
    <w:rsid w:val="00A94743"/>
    <w:rsid w:val="00A96FB8"/>
    <w:rsid w:val="00AA07C9"/>
    <w:rsid w:val="00AA5E73"/>
    <w:rsid w:val="00AB01D4"/>
    <w:rsid w:val="00AB257E"/>
    <w:rsid w:val="00AB37A9"/>
    <w:rsid w:val="00AB4339"/>
    <w:rsid w:val="00AB7DB8"/>
    <w:rsid w:val="00AD16AC"/>
    <w:rsid w:val="00AE3368"/>
    <w:rsid w:val="00AF32F3"/>
    <w:rsid w:val="00AF37EF"/>
    <w:rsid w:val="00AF4CF2"/>
    <w:rsid w:val="00B15DE3"/>
    <w:rsid w:val="00B228AB"/>
    <w:rsid w:val="00B24532"/>
    <w:rsid w:val="00B24FA7"/>
    <w:rsid w:val="00B25AA2"/>
    <w:rsid w:val="00B42A0D"/>
    <w:rsid w:val="00B566F0"/>
    <w:rsid w:val="00B72C51"/>
    <w:rsid w:val="00B82185"/>
    <w:rsid w:val="00B82C1C"/>
    <w:rsid w:val="00B91838"/>
    <w:rsid w:val="00BA05C9"/>
    <w:rsid w:val="00BA1CE9"/>
    <w:rsid w:val="00BA455B"/>
    <w:rsid w:val="00BA6A60"/>
    <w:rsid w:val="00BB1929"/>
    <w:rsid w:val="00BC0D32"/>
    <w:rsid w:val="00BD501B"/>
    <w:rsid w:val="00BE6558"/>
    <w:rsid w:val="00BE7472"/>
    <w:rsid w:val="00BF1772"/>
    <w:rsid w:val="00BF2F55"/>
    <w:rsid w:val="00BF59CB"/>
    <w:rsid w:val="00C0634A"/>
    <w:rsid w:val="00C06704"/>
    <w:rsid w:val="00C266F2"/>
    <w:rsid w:val="00C37DDA"/>
    <w:rsid w:val="00C41646"/>
    <w:rsid w:val="00C416F7"/>
    <w:rsid w:val="00C41EB1"/>
    <w:rsid w:val="00C452D9"/>
    <w:rsid w:val="00C45417"/>
    <w:rsid w:val="00C5541E"/>
    <w:rsid w:val="00C56B43"/>
    <w:rsid w:val="00C60C41"/>
    <w:rsid w:val="00C614FB"/>
    <w:rsid w:val="00C7355D"/>
    <w:rsid w:val="00C7620A"/>
    <w:rsid w:val="00C800BD"/>
    <w:rsid w:val="00C80AFC"/>
    <w:rsid w:val="00C81B48"/>
    <w:rsid w:val="00C829A6"/>
    <w:rsid w:val="00C86B4F"/>
    <w:rsid w:val="00C90127"/>
    <w:rsid w:val="00C95D00"/>
    <w:rsid w:val="00CA45B2"/>
    <w:rsid w:val="00CA56A0"/>
    <w:rsid w:val="00CC55D4"/>
    <w:rsid w:val="00CC73AC"/>
    <w:rsid w:val="00CF4D71"/>
    <w:rsid w:val="00CF66C2"/>
    <w:rsid w:val="00D0439B"/>
    <w:rsid w:val="00D15FF0"/>
    <w:rsid w:val="00D26B51"/>
    <w:rsid w:val="00D33CF8"/>
    <w:rsid w:val="00D40023"/>
    <w:rsid w:val="00D46098"/>
    <w:rsid w:val="00D52416"/>
    <w:rsid w:val="00D5320E"/>
    <w:rsid w:val="00D57D8C"/>
    <w:rsid w:val="00D660D9"/>
    <w:rsid w:val="00D75826"/>
    <w:rsid w:val="00D870E5"/>
    <w:rsid w:val="00D947AE"/>
    <w:rsid w:val="00D95116"/>
    <w:rsid w:val="00D95BD9"/>
    <w:rsid w:val="00DB7998"/>
    <w:rsid w:val="00DC49AE"/>
    <w:rsid w:val="00DC58B8"/>
    <w:rsid w:val="00DC6765"/>
    <w:rsid w:val="00DD3728"/>
    <w:rsid w:val="00DD3A22"/>
    <w:rsid w:val="00DD3CD2"/>
    <w:rsid w:val="00DD422C"/>
    <w:rsid w:val="00DE34F9"/>
    <w:rsid w:val="00DE634F"/>
    <w:rsid w:val="00E03112"/>
    <w:rsid w:val="00E05193"/>
    <w:rsid w:val="00E063AE"/>
    <w:rsid w:val="00E118A7"/>
    <w:rsid w:val="00E12780"/>
    <w:rsid w:val="00E206D0"/>
    <w:rsid w:val="00E26E48"/>
    <w:rsid w:val="00E27547"/>
    <w:rsid w:val="00E36F76"/>
    <w:rsid w:val="00E47C85"/>
    <w:rsid w:val="00E550C7"/>
    <w:rsid w:val="00E64D28"/>
    <w:rsid w:val="00E653A6"/>
    <w:rsid w:val="00E66532"/>
    <w:rsid w:val="00E70A6B"/>
    <w:rsid w:val="00E70A73"/>
    <w:rsid w:val="00E8436A"/>
    <w:rsid w:val="00E87ACC"/>
    <w:rsid w:val="00E95F7A"/>
    <w:rsid w:val="00EA527D"/>
    <w:rsid w:val="00EA5784"/>
    <w:rsid w:val="00EB711C"/>
    <w:rsid w:val="00EC1402"/>
    <w:rsid w:val="00EC29B1"/>
    <w:rsid w:val="00EC2FC4"/>
    <w:rsid w:val="00EC3FD5"/>
    <w:rsid w:val="00ED4D7E"/>
    <w:rsid w:val="00EE10E3"/>
    <w:rsid w:val="00EE5B48"/>
    <w:rsid w:val="00EF680A"/>
    <w:rsid w:val="00F147FF"/>
    <w:rsid w:val="00F165C3"/>
    <w:rsid w:val="00F20318"/>
    <w:rsid w:val="00F23D2F"/>
    <w:rsid w:val="00F335FF"/>
    <w:rsid w:val="00F43AEE"/>
    <w:rsid w:val="00F507BA"/>
    <w:rsid w:val="00F55E88"/>
    <w:rsid w:val="00F723B9"/>
    <w:rsid w:val="00F802BE"/>
    <w:rsid w:val="00F82DD1"/>
    <w:rsid w:val="00F87E38"/>
    <w:rsid w:val="00F91F22"/>
    <w:rsid w:val="00F965CB"/>
    <w:rsid w:val="00F9707C"/>
    <w:rsid w:val="00F9734C"/>
    <w:rsid w:val="00FA1082"/>
    <w:rsid w:val="00FB6B56"/>
    <w:rsid w:val="00FC567E"/>
    <w:rsid w:val="00FC7404"/>
    <w:rsid w:val="00FD1196"/>
    <w:rsid w:val="00FD6C68"/>
    <w:rsid w:val="00FE074A"/>
    <w:rsid w:val="00FE490D"/>
    <w:rsid w:val="00FE5122"/>
    <w:rsid w:val="00FF1410"/>
    <w:rsid w:val="00FF21D8"/>
    <w:rsid w:val="00FF343E"/>
    <w:rsid w:val="0C974DD6"/>
    <w:rsid w:val="0CF63410"/>
    <w:rsid w:val="10A3514C"/>
    <w:rsid w:val="193F2851"/>
    <w:rsid w:val="1EE1570D"/>
    <w:rsid w:val="221609F1"/>
    <w:rsid w:val="23C13CA9"/>
    <w:rsid w:val="2FA0575A"/>
    <w:rsid w:val="30444FEF"/>
    <w:rsid w:val="306A05E0"/>
    <w:rsid w:val="3A2B68FB"/>
    <w:rsid w:val="40D210E2"/>
    <w:rsid w:val="41F81056"/>
    <w:rsid w:val="428A282C"/>
    <w:rsid w:val="46C64710"/>
    <w:rsid w:val="4B393FE8"/>
    <w:rsid w:val="4E5F0103"/>
    <w:rsid w:val="4EED2D67"/>
    <w:rsid w:val="509A730D"/>
    <w:rsid w:val="53A351F8"/>
    <w:rsid w:val="55FC18B9"/>
    <w:rsid w:val="596D1C77"/>
    <w:rsid w:val="63915A1F"/>
    <w:rsid w:val="65806A0B"/>
    <w:rsid w:val="6D090D1F"/>
    <w:rsid w:val="6FA04BC8"/>
    <w:rsid w:val="74E77240"/>
    <w:rsid w:val="7DED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 w:hAnsiTheme="minorHAnsi" w:cstheme="minorBidi"/>
      <w:kern w:val="2"/>
      <w:sz w:val="32"/>
      <w:szCs w:val="32"/>
      <w:lang w:val="en-US" w:eastAsia="zh-CN" w:bidi="ar-SA"/>
    </w:rPr>
  </w:style>
  <w:style w:type="paragraph" w:styleId="2">
    <w:name w:val="heading 1"/>
    <w:basedOn w:val="1"/>
    <w:next w:val="1"/>
    <w:link w:val="21"/>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4"/>
    <w:unhideWhenUsed/>
    <w:qFormat/>
    <w:uiPriority w:val="9"/>
    <w:pPr>
      <w:keepNext/>
      <w:keepLines/>
      <w:spacing w:before="260" w:after="260" w:line="416" w:lineRule="auto"/>
      <w:outlineLvl w:val="2"/>
    </w:pPr>
    <w:rPr>
      <w:b/>
      <w:bCs/>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2"/>
    <w:qFormat/>
    <w:uiPriority w:val="11"/>
    <w:pPr>
      <w:spacing w:before="240" w:after="60" w:line="312" w:lineRule="auto"/>
      <w:jc w:val="center"/>
      <w:outlineLvl w:val="1"/>
    </w:pPr>
    <w:rPr>
      <w:rFonts w:eastAsia="宋体" w:asciiTheme="majorHAnsi" w:hAnsiTheme="majorHAnsi" w:cstheme="majorBidi"/>
      <w:b/>
      <w:bCs/>
      <w:kern w:val="28"/>
    </w:rPr>
  </w:style>
  <w:style w:type="paragraph" w:styleId="10">
    <w:name w:val="Title"/>
    <w:basedOn w:val="1"/>
    <w:next w:val="1"/>
    <w:link w:val="18"/>
    <w:qFormat/>
    <w:uiPriority w:val="10"/>
    <w:pPr>
      <w:spacing w:before="240" w:after="60"/>
      <w:jc w:val="center"/>
      <w:outlineLvl w:val="0"/>
    </w:pPr>
    <w:rPr>
      <w:rFonts w:eastAsia="方正小标宋简体" w:asciiTheme="majorHAnsi" w:hAnsiTheme="majorHAnsi" w:cstheme="majorBidi"/>
      <w:b/>
      <w:bCs/>
      <w:sz w:val="4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未处理的提及1"/>
    <w:basedOn w:val="13"/>
    <w:semiHidden/>
    <w:unhideWhenUsed/>
    <w:qFormat/>
    <w:uiPriority w:val="99"/>
    <w:rPr>
      <w:color w:val="605E5C"/>
      <w:shd w:val="clear" w:color="auto" w:fill="E1DFDD"/>
    </w:rPr>
  </w:style>
  <w:style w:type="character" w:customStyle="1" w:styleId="18">
    <w:name w:val="标题 Char"/>
    <w:basedOn w:val="13"/>
    <w:link w:val="10"/>
    <w:qFormat/>
    <w:uiPriority w:val="10"/>
    <w:rPr>
      <w:rFonts w:eastAsia="方正小标宋简体" w:asciiTheme="majorHAnsi" w:hAnsiTheme="majorHAnsi" w:cstheme="majorBidi"/>
      <w:b/>
      <w:bCs/>
      <w:sz w:val="44"/>
      <w:szCs w:val="32"/>
    </w:rPr>
  </w:style>
  <w:style w:type="character" w:customStyle="1" w:styleId="19">
    <w:name w:val="日期 Char"/>
    <w:basedOn w:val="13"/>
    <w:link w:val="5"/>
    <w:semiHidden/>
    <w:qFormat/>
    <w:uiPriority w:val="99"/>
    <w:rPr>
      <w:rFonts w:eastAsia="仿宋"/>
      <w:sz w:val="32"/>
    </w:rPr>
  </w:style>
  <w:style w:type="paragraph" w:styleId="20">
    <w:name w:val="No Spacing"/>
    <w:qFormat/>
    <w:uiPriority w:val="1"/>
    <w:pPr>
      <w:widowControl w:val="0"/>
      <w:jc w:val="center"/>
    </w:pPr>
    <w:rPr>
      <w:rFonts w:ascii="仿宋_GB2312" w:eastAsia="楷体_GB2312" w:hAnsiTheme="minorHAnsi" w:cstheme="minorBidi"/>
      <w:kern w:val="2"/>
      <w:sz w:val="32"/>
      <w:szCs w:val="32"/>
      <w:lang w:val="en-US" w:eastAsia="zh-CN" w:bidi="ar-SA"/>
    </w:rPr>
  </w:style>
  <w:style w:type="character" w:customStyle="1" w:styleId="21">
    <w:name w:val="标题 1 Char"/>
    <w:basedOn w:val="13"/>
    <w:link w:val="2"/>
    <w:qFormat/>
    <w:uiPriority w:val="9"/>
    <w:rPr>
      <w:rFonts w:eastAsia="仿宋"/>
      <w:b/>
      <w:bCs/>
      <w:kern w:val="44"/>
      <w:sz w:val="44"/>
      <w:szCs w:val="44"/>
    </w:rPr>
  </w:style>
  <w:style w:type="character" w:customStyle="1" w:styleId="22">
    <w:name w:val="副标题 Char"/>
    <w:basedOn w:val="13"/>
    <w:link w:val="9"/>
    <w:qFormat/>
    <w:uiPriority w:val="11"/>
    <w:rPr>
      <w:rFonts w:eastAsia="宋体" w:asciiTheme="majorHAnsi" w:hAnsiTheme="majorHAnsi" w:cstheme="majorBidi"/>
      <w:b/>
      <w:bCs/>
      <w:kern w:val="28"/>
      <w:sz w:val="32"/>
      <w:szCs w:val="32"/>
    </w:rPr>
  </w:style>
  <w:style w:type="character" w:customStyle="1" w:styleId="23">
    <w:name w:val="标题 2 Char"/>
    <w:basedOn w:val="13"/>
    <w:link w:val="3"/>
    <w:qFormat/>
    <w:uiPriority w:val="9"/>
    <w:rPr>
      <w:rFonts w:asciiTheme="majorHAnsi" w:hAnsiTheme="majorHAnsi" w:eastAsiaTheme="majorEastAsia" w:cstheme="majorBidi"/>
      <w:b/>
      <w:bCs/>
      <w:sz w:val="32"/>
      <w:szCs w:val="32"/>
    </w:rPr>
  </w:style>
  <w:style w:type="character" w:customStyle="1" w:styleId="24">
    <w:name w:val="标题 3 Char"/>
    <w:basedOn w:val="13"/>
    <w:link w:val="4"/>
    <w:qFormat/>
    <w:uiPriority w:val="9"/>
    <w:rPr>
      <w:rFonts w:eastAsia="仿宋"/>
      <w:b/>
      <w:bCs/>
      <w:sz w:val="32"/>
      <w:szCs w:val="32"/>
    </w:rPr>
  </w:style>
  <w:style w:type="character" w:customStyle="1" w:styleId="25">
    <w:name w:val="Unresolved Mention"/>
    <w:basedOn w:val="13"/>
    <w:semiHidden/>
    <w:unhideWhenUsed/>
    <w:qFormat/>
    <w:uiPriority w:val="99"/>
    <w:rPr>
      <w:color w:val="605E5C"/>
      <w:shd w:val="clear" w:color="auto" w:fill="E1DFDD"/>
    </w:rPr>
  </w:style>
  <w:style w:type="paragraph" w:styleId="26">
    <w:name w:val="List Paragraph"/>
    <w:basedOn w:val="1"/>
    <w:qFormat/>
    <w:uiPriority w:val="34"/>
    <w:pPr>
      <w:ind w:firstLine="420" w:firstLineChars="200"/>
    </w:pPr>
  </w:style>
  <w:style w:type="character" w:customStyle="1" w:styleId="27">
    <w:name w:val="批注框文本 Char"/>
    <w:basedOn w:val="13"/>
    <w:link w:val="6"/>
    <w:semiHidden/>
    <w:uiPriority w:val="99"/>
    <w:rPr>
      <w:rFonts w:eastAsia="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0105CF-B421-4F91-BB9A-12C3C770A05B}">
  <ds:schemaRefs/>
</ds:datastoreItem>
</file>

<file path=docProps/app.xml><?xml version="1.0" encoding="utf-8"?>
<Properties xmlns="http://schemas.openxmlformats.org/officeDocument/2006/extended-properties" xmlns:vt="http://schemas.openxmlformats.org/officeDocument/2006/docPropsVTypes">
  <Template>Normal</Template>
  <Company>wdkj.com</Company>
  <Pages>10</Pages>
  <Words>2883</Words>
  <Characters>2974</Characters>
  <Lines>47</Lines>
  <Paragraphs>13</Paragraphs>
  <TotalTime>12</TotalTime>
  <ScaleCrop>false</ScaleCrop>
  <LinksUpToDate>false</LinksUpToDate>
  <CharactersWithSpaces>6215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2020-11-13T00:56:00Z</dcterms:created>
  <dc:creator>tanshun</dc:creator>
  <cp:lastModifiedBy>新闻中心</cp:lastModifiedBy>
  <cp:lastPrinted>2020-11-13T01:18:00Z</cp:lastPrinted>
  <dcterms:modified xsi:type="dcterms:W3CDTF">2022-07-12T08:48:13Z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04A95905C9EF421D916B9CBAB59716F1</vt:lpwstr>
  </property>
</Properties>
</file>