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jc w:val="center"/>
        <w:rPr>
          <w:rFonts w:hint="eastAsia" w:ascii="方正小标宋_GBK" w:hAnsi="方正小标宋_GBK" w:eastAsia="方正小标宋_GBK"/>
          <w:b/>
          <w:bCs/>
          <w:sz w:val="30"/>
        </w:rPr>
      </w:pPr>
      <w:r>
        <w:rPr>
          <w:rFonts w:hint="eastAsia" w:ascii="方正小标宋_GBK" w:hAnsi="方正小标宋_GBK" w:eastAsia="方正小标宋_GBK"/>
          <w:b/>
          <w:bCs/>
          <w:sz w:val="30"/>
          <w:lang w:eastAsia="zh-CN"/>
        </w:rPr>
        <w:t>宁明县</w:t>
      </w:r>
      <w:r>
        <w:rPr>
          <w:rFonts w:hint="eastAsia" w:ascii="方正小标宋_GBK" w:hAnsi="方正小标宋_GBK" w:eastAsia="方正小标宋_GBK"/>
          <w:b/>
          <w:bCs/>
          <w:sz w:val="30"/>
        </w:rPr>
        <w:t>公共法律服务领域基层政务公开标准目录</w:t>
      </w:r>
    </w:p>
    <w:p>
      <w:pPr>
        <w:ind w:firstLine="300" w:firstLineChars="100"/>
        <w:jc w:val="center"/>
        <w:rPr>
          <w:rFonts w:hint="eastAsia" w:ascii="方正小标宋_GBK" w:hAnsi="方正小标宋_GBK" w:eastAsia="方正小标宋_GBK"/>
          <w:b/>
          <w:bCs/>
          <w:sz w:val="30"/>
        </w:rPr>
      </w:pP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w:t>
            </w:r>
            <w:r>
              <w:rPr>
                <w:rFonts w:hint="eastAsia" w:ascii="仿宋_GB2312" w:hAnsi="宋体" w:eastAsia="仿宋_GB2312"/>
                <w:color w:val="000000"/>
                <w:sz w:val="18"/>
                <w:szCs w:val="18"/>
                <w:lang w:eastAsia="zh-CN"/>
              </w:rPr>
              <w:t>20</w:t>
            </w:r>
            <w:r>
              <w:rPr>
                <w:rFonts w:hint="eastAsia" w:ascii="仿宋_GB2312" w:hAnsi="宋体" w:eastAsia="仿宋_GB2312"/>
                <w:color w:val="000000"/>
                <w:sz w:val="18"/>
                <w:szCs w:val="18"/>
              </w:rPr>
              <w:t>16－</w:t>
            </w:r>
            <w:r>
              <w:rPr>
                <w:rFonts w:hint="eastAsia" w:ascii="仿宋_GB2312" w:hAnsi="宋体" w:eastAsia="仿宋_GB2312"/>
                <w:color w:val="000000"/>
                <w:sz w:val="18"/>
                <w:szCs w:val="18"/>
                <w:lang w:eastAsia="zh-CN"/>
              </w:rPr>
              <w:t>2020</w:t>
            </w:r>
            <w:r>
              <w:rPr>
                <w:rFonts w:hint="eastAsia" w:ascii="仿宋_GB2312" w:hAnsi="宋体" w:eastAsia="仿宋_GB2312"/>
                <w:color w:val="000000"/>
                <w:sz w:val="18"/>
                <w:szCs w:val="18"/>
              </w:rPr>
              <w:t>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hint="eastAsia" w:ascii="仿宋_GB2312" w:hAnsi="宋体" w:eastAsia="仿宋_GB2312"/>
                <w:color w:val="000000"/>
                <w:sz w:val="18"/>
                <w:szCs w:val="18"/>
                <w:lang w:val="en-US" w:eastAsia="zh-CN"/>
              </w:rPr>
              <w:t>20</w:t>
            </w:r>
            <w:r>
              <w:rPr>
                <w:rFonts w:hint="eastAsia" w:ascii="仿宋_GB2312" w:hAnsi="宋体" w:eastAsia="仿宋_GB2312"/>
                <w:color w:val="000000"/>
                <w:sz w:val="18"/>
                <w:szCs w:val="18"/>
              </w:rPr>
              <w:t>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宁明县</w:t>
            </w:r>
            <w:r>
              <w:rPr>
                <w:rFonts w:hint="eastAsia" w:ascii="仿宋_GB2312" w:hAnsi="宋体" w:eastAsia="仿宋_GB2312"/>
                <w:color w:val="000000"/>
                <w:sz w:val="18"/>
                <w:szCs w:val="18"/>
              </w:rPr>
              <w:t>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w:t>
            </w:r>
            <w:r>
              <w:rPr>
                <w:rFonts w:hint="eastAsia" w:ascii="仿宋_GB2312" w:hAnsi="宋体" w:eastAsia="仿宋_GB2312"/>
                <w:color w:val="000000"/>
                <w:sz w:val="18"/>
                <w:szCs w:val="18"/>
                <w:lang w:eastAsia="zh-CN"/>
              </w:rPr>
              <w:t>20</w:t>
            </w:r>
            <w:r>
              <w:rPr>
                <w:rFonts w:hint="eastAsia" w:ascii="仿宋_GB2312" w:hAnsi="宋体" w:eastAsia="仿宋_GB2312"/>
                <w:color w:val="000000"/>
                <w:sz w:val="18"/>
                <w:szCs w:val="18"/>
              </w:rPr>
              <w:t>16－</w:t>
            </w:r>
            <w:r>
              <w:rPr>
                <w:rFonts w:hint="eastAsia" w:ascii="仿宋_GB2312" w:hAnsi="宋体" w:eastAsia="仿宋_GB2312"/>
                <w:color w:val="000000"/>
                <w:sz w:val="18"/>
                <w:szCs w:val="18"/>
                <w:lang w:eastAsia="zh-CN"/>
              </w:rPr>
              <w:t>2020</w:t>
            </w:r>
            <w:r>
              <w:rPr>
                <w:rFonts w:hint="eastAsia" w:ascii="仿宋_GB2312" w:hAnsi="宋体" w:eastAsia="仿宋_GB2312"/>
                <w:color w:val="000000"/>
                <w:sz w:val="18"/>
                <w:szCs w:val="18"/>
              </w:rPr>
              <w:t>年）&gt;》、</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hint="eastAsia" w:ascii="仿宋_GB2312" w:hAnsi="宋体" w:eastAsia="仿宋_GB2312"/>
                <w:color w:val="000000"/>
                <w:sz w:val="18"/>
                <w:szCs w:val="18"/>
                <w:lang w:val="en-US" w:eastAsia="zh-CN"/>
              </w:rPr>
              <w:t>20</w:t>
            </w:r>
            <w:r>
              <w:rPr>
                <w:rFonts w:hint="eastAsia" w:ascii="仿宋_GB2312" w:hAnsi="宋体" w:eastAsia="仿宋_GB2312"/>
                <w:color w:val="000000"/>
                <w:sz w:val="18"/>
                <w:szCs w:val="18"/>
              </w:rPr>
              <w:t>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■社区/企事业单位公示栏（电子屏）</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行政处罚后20</w:t>
            </w:r>
            <w:r>
              <w:rPr>
                <w:rFonts w:hint="eastAsia" w:ascii="仿宋_GB2312" w:hAnsi="宋体" w:eastAsia="仿宋_GB2312"/>
                <w:color w:val="000000"/>
                <w:sz w:val="18"/>
                <w:szCs w:val="18"/>
              </w:rPr>
              <w:t>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9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p>
            <w:pPr>
              <w:rPr>
                <w:rFonts w:ascii="仿宋_GB2312" w:hAnsi="宋体" w:eastAsia="仿宋_GB2312"/>
                <w:color w:val="000000"/>
                <w:sz w:val="18"/>
                <w:szCs w:val="18"/>
              </w:rPr>
            </w:pPr>
          </w:p>
        </w:tc>
        <w:tc>
          <w:tcPr>
            <w:tcW w:w="144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auto"/>
                <w:sz w:val="18"/>
                <w:szCs w:val="18"/>
              </w:rPr>
              <w:t>法律咨询</w:t>
            </w:r>
          </w:p>
        </w:tc>
        <w:tc>
          <w:tcPr>
            <w:tcW w:w="162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咨询答复</w:t>
            </w:r>
          </w:p>
        </w:tc>
        <w:tc>
          <w:tcPr>
            <w:tcW w:w="198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《法律援助条例》、《</w:t>
            </w:r>
            <w:r>
              <w:rPr>
                <w:rFonts w:hint="eastAsia" w:ascii="仿宋_GB2312" w:hAnsi="Times New Roman" w:eastAsia="仿宋_GB2312" w:cs="仿宋_GB2312"/>
                <w:color w:val="000000"/>
                <w:sz w:val="18"/>
                <w:szCs w:val="18"/>
                <w:lang w:eastAsia="zh-CN"/>
              </w:rPr>
              <w:t>广西壮族自治区</w:t>
            </w:r>
            <w:r>
              <w:rPr>
                <w:rFonts w:hint="eastAsia" w:ascii="仿宋_GB2312" w:hAnsi="Times New Roman" w:eastAsia="仿宋_GB2312" w:cs="仿宋_GB2312"/>
                <w:color w:val="000000"/>
                <w:sz w:val="18"/>
                <w:szCs w:val="18"/>
              </w:rPr>
              <w:t>法律援助条例》</w:t>
            </w:r>
          </w:p>
        </w:tc>
        <w:tc>
          <w:tcPr>
            <w:tcW w:w="180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自收到公开申请之日起20个工作日内公开</w:t>
            </w:r>
          </w:p>
        </w:tc>
        <w:tc>
          <w:tcPr>
            <w:tcW w:w="90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lang w:eastAsia="zh-CN"/>
              </w:rPr>
              <w:t>宁明县司法局</w:t>
            </w:r>
          </w:p>
        </w:tc>
        <w:tc>
          <w:tcPr>
            <w:tcW w:w="234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left"/>
              <w:textAlignment w:val="center"/>
              <w:rPr>
                <w:rFonts w:hint="default"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■精准推送</w:t>
            </w:r>
          </w:p>
        </w:tc>
        <w:tc>
          <w:tcPr>
            <w:tcW w:w="540" w:type="dxa"/>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2"/>
                <w:sz w:val="21"/>
                <w:szCs w:val="21"/>
                <w:lang w:val="en-US" w:eastAsia="zh-CN" w:bidi="ar-SA"/>
              </w:rPr>
            </w:pPr>
          </w:p>
        </w:tc>
        <w:tc>
          <w:tcPr>
            <w:tcW w:w="90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申请人</w:t>
            </w:r>
          </w:p>
        </w:tc>
        <w:tc>
          <w:tcPr>
            <w:tcW w:w="540" w:type="dxa"/>
            <w:noWrap w:val="0"/>
            <w:vAlign w:val="center"/>
          </w:tcPr>
          <w:p>
            <w:pPr>
              <w:keepNext w:val="0"/>
              <w:keepLines w:val="0"/>
              <w:widowControl/>
              <w:suppressLineNumbers w:val="0"/>
              <w:spacing w:before="0" w:beforeAutospacing="0" w:after="0" w:afterAutospacing="0"/>
              <w:ind w:left="0" w:leftChars="0" w:right="0" w:rightChars="0"/>
              <w:jc w:val="left"/>
              <w:rPr>
                <w:rFonts w:hint="eastAsia" w:ascii="Times New Roman" w:hAnsi="Times New Roman" w:eastAsia="宋体" w:cs="Times New Roman"/>
                <w:color w:val="000000"/>
                <w:kern w:val="2"/>
                <w:sz w:val="21"/>
                <w:szCs w:val="21"/>
                <w:lang w:val="en-US" w:eastAsia="zh-CN" w:bidi="ar-SA"/>
              </w:rPr>
            </w:pPr>
          </w:p>
        </w:tc>
        <w:tc>
          <w:tcPr>
            <w:tcW w:w="72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w:t>
            </w:r>
          </w:p>
        </w:tc>
        <w:tc>
          <w:tcPr>
            <w:tcW w:w="54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w:t>
            </w:r>
          </w:p>
        </w:tc>
        <w:tc>
          <w:tcPr>
            <w:tcW w:w="72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textAlignment w:val="center"/>
              <w:rPr>
                <w:rFonts w:hint="default" w:ascii="Times New Roman" w:hAnsi="Times New Roman" w:eastAsia="宋体" w:cs="Times New Roman"/>
                <w:color w:val="000000"/>
                <w:kern w:val="0"/>
                <w:sz w:val="18"/>
                <w:szCs w:val="18"/>
                <w:lang w:val="en-US" w:eastAsia="zh-CN" w:bidi="ar"/>
              </w:rPr>
            </w:pPr>
            <w:r>
              <w:rPr>
                <w:rFonts w:hint="eastAsia" w:ascii="仿宋_GB2312" w:hAnsi="Times New Roman"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9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《法律援助条例》《广西壮族自治区法律援助条例》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Times New Roman" w:eastAsia="仿宋_GB2312" w:cs="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Times New Roman" w:eastAsia="仿宋_GB2312" w:cs="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受指派的律师事务所</w:t>
            </w:r>
          </w:p>
        </w:tc>
        <w:tc>
          <w:tcPr>
            <w:tcW w:w="540" w:type="dxa"/>
            <w:noWrap w:val="0"/>
            <w:vAlign w:val="center"/>
          </w:tcPr>
          <w:p>
            <w:pPr>
              <w:jc w:val="both"/>
              <w:rPr>
                <w:rFonts w:hint="eastAsia" w:ascii="仿宋_GB2312" w:hAnsi="宋体" w:eastAsia="仿宋_GB2312"/>
                <w:color w:val="000000"/>
                <w:sz w:val="18"/>
                <w:szCs w:val="18"/>
                <w:lang w:eastAsia="zh-CN"/>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Times New Roman" w:eastAsia="仿宋_GB2312" w:cs="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9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案件补贴审核发放表</w:t>
            </w:r>
          </w:p>
        </w:tc>
        <w:tc>
          <w:tcPr>
            <w:tcW w:w="1980" w:type="dxa"/>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《法律援助条例》《广西壮族自治区法律援助条例》</w:t>
            </w:r>
          </w:p>
        </w:tc>
        <w:tc>
          <w:tcPr>
            <w:tcW w:w="1800" w:type="dxa"/>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宁明县司法局</w:t>
            </w:r>
          </w:p>
        </w:tc>
        <w:tc>
          <w:tcPr>
            <w:tcW w:w="2340" w:type="dxa"/>
            <w:noWrap w:val="0"/>
            <w:vAlign w:val="center"/>
          </w:tcPr>
          <w:p>
            <w:pPr>
              <w:widowControl/>
              <w:jc w:val="left"/>
              <w:textAlignment w:val="center"/>
              <w:rPr>
                <w:rFonts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s="Times New Roman"/>
                <w:color w:val="000000"/>
                <w:kern w:val="2"/>
                <w:sz w:val="18"/>
                <w:szCs w:val="18"/>
                <w:lang w:val="en-US" w:eastAsia="zh-CN" w:bidi="ar-SA"/>
              </w:rPr>
            </w:pPr>
          </w:p>
        </w:tc>
        <w:tc>
          <w:tcPr>
            <w:tcW w:w="90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申请人</w:t>
            </w:r>
          </w:p>
        </w:tc>
        <w:tc>
          <w:tcPr>
            <w:tcW w:w="540" w:type="dxa"/>
            <w:noWrap w:val="0"/>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noWrap w:val="0"/>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900" w:type="dxa"/>
            <w:vMerge w:val="continue"/>
            <w:noWrap w:val="0"/>
            <w:vAlign w:val="center"/>
          </w:tcPr>
          <w:p>
            <w:pPr>
              <w:jc w:val="center"/>
              <w:rPr>
                <w:rFonts w:hint="eastAsia" w:ascii="仿宋_GB2312" w:hAnsi="宋体" w:eastAsia="仿宋_GB2312"/>
                <w:color w:val="000000"/>
                <w:sz w:val="18"/>
                <w:szCs w:val="18"/>
                <w:lang w:val="en-US" w:eastAsia="zh-CN"/>
              </w:rPr>
            </w:pPr>
          </w:p>
        </w:tc>
        <w:tc>
          <w:tcPr>
            <w:tcW w:w="1440" w:type="dxa"/>
            <w:noWrap w:val="0"/>
            <w:vAlign w:val="center"/>
          </w:tcPr>
          <w:p>
            <w:pPr>
              <w:widowControl/>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《法律援助条例》《广西壮族自治区法律援助条例》</w:t>
            </w:r>
          </w:p>
        </w:tc>
        <w:tc>
          <w:tcPr>
            <w:tcW w:w="1800" w:type="dxa"/>
            <w:noWrap w:val="0"/>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宁明县司法局</w:t>
            </w:r>
          </w:p>
        </w:tc>
        <w:tc>
          <w:tcPr>
            <w:tcW w:w="2340" w:type="dxa"/>
            <w:noWrap w:val="0"/>
            <w:vAlign w:val="center"/>
          </w:tcPr>
          <w:p>
            <w:pPr>
              <w:widowControl/>
              <w:jc w:val="left"/>
              <w:textAlignment w:val="center"/>
              <w:rPr>
                <w:rFonts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s="Times New Roman"/>
                <w:color w:val="000000"/>
                <w:kern w:val="2"/>
                <w:sz w:val="18"/>
                <w:szCs w:val="18"/>
                <w:lang w:val="en-US" w:eastAsia="zh-CN" w:bidi="ar-SA"/>
              </w:rPr>
            </w:pPr>
          </w:p>
        </w:tc>
        <w:tc>
          <w:tcPr>
            <w:tcW w:w="900" w:type="dxa"/>
            <w:noWrap w:val="0"/>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s="Times New Roman"/>
                <w:color w:val="000000"/>
                <w:kern w:val="2"/>
                <w:sz w:val="18"/>
                <w:szCs w:val="18"/>
                <w:lang w:val="en-US" w:eastAsia="zh-CN" w:bidi="ar-SA"/>
              </w:rPr>
            </w:pPr>
          </w:p>
        </w:tc>
        <w:tc>
          <w:tcPr>
            <w:tcW w:w="720" w:type="dxa"/>
            <w:noWrap w:val="0"/>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9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行政处罚</w:t>
            </w:r>
            <w:r>
              <w:rPr>
                <w:rFonts w:hint="eastAsia" w:ascii="仿宋_GB2312" w:hAnsi="宋体" w:eastAsia="仿宋_GB2312"/>
                <w:color w:val="000000"/>
                <w:sz w:val="18"/>
                <w:szCs w:val="18"/>
              </w:rPr>
              <w:t>之日起</w:t>
            </w:r>
            <w:r>
              <w:rPr>
                <w:rFonts w:hint="eastAsia" w:ascii="仿宋_GB2312" w:hAnsi="宋体" w:eastAsia="仿宋_GB2312"/>
                <w:color w:val="000000"/>
                <w:sz w:val="18"/>
                <w:szCs w:val="18"/>
                <w:lang w:val="en-US" w:eastAsia="zh-CN"/>
              </w:rPr>
              <w:t>20</w:t>
            </w:r>
            <w:r>
              <w:rPr>
                <w:rFonts w:hint="eastAsia" w:ascii="仿宋_GB2312" w:hAnsi="宋体" w:eastAsia="仿宋_GB2312"/>
                <w:color w:val="000000"/>
                <w:sz w:val="18"/>
                <w:szCs w:val="18"/>
              </w:rPr>
              <w:t>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行政处罚</w:t>
            </w:r>
            <w:r>
              <w:rPr>
                <w:rFonts w:hint="eastAsia" w:ascii="仿宋_GB2312" w:hAnsi="宋体" w:eastAsia="仿宋_GB2312"/>
                <w:color w:val="000000"/>
                <w:sz w:val="18"/>
                <w:szCs w:val="18"/>
              </w:rPr>
              <w:t>之日起</w:t>
            </w:r>
            <w:r>
              <w:rPr>
                <w:rFonts w:hint="eastAsia" w:ascii="仿宋_GB2312" w:hAnsi="宋体" w:eastAsia="仿宋_GB2312"/>
                <w:color w:val="000000"/>
                <w:sz w:val="18"/>
                <w:szCs w:val="18"/>
                <w:lang w:eastAsia="zh-CN"/>
              </w:rPr>
              <w:t>20</w:t>
            </w:r>
            <w:r>
              <w:rPr>
                <w:rFonts w:hint="eastAsia" w:ascii="仿宋_GB2312" w:hAnsi="宋体" w:eastAsia="仿宋_GB2312"/>
                <w:color w:val="000000"/>
                <w:sz w:val="18"/>
                <w:szCs w:val="18"/>
              </w:rPr>
              <w:t>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hint="eastAsia" w:ascii="仿宋_GB2312" w:hAnsi="宋体" w:eastAsia="仿宋_GB2312"/>
                <w:color w:val="000000"/>
                <w:sz w:val="18"/>
                <w:szCs w:val="18"/>
                <w:lang w:eastAsia="zh-CN"/>
              </w:rPr>
              <w:t>20</w:t>
            </w:r>
            <w:r>
              <w:rPr>
                <w:rFonts w:hint="eastAsia" w:ascii="仿宋_GB2312" w:hAnsi="宋体" w:eastAsia="仿宋_GB2312"/>
                <w:color w:val="000000"/>
                <w:sz w:val="18"/>
                <w:szCs w:val="18"/>
              </w:rPr>
              <w:t>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■单位公示栏</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hint="eastAsia" w:ascii="仿宋_GB2312" w:hAnsi="宋体" w:eastAsia="仿宋_GB2312"/>
                <w:color w:val="000000"/>
                <w:sz w:val="18"/>
                <w:szCs w:val="18"/>
                <w:lang w:eastAsia="zh-CN"/>
              </w:rPr>
              <w:t>20</w:t>
            </w:r>
            <w:r>
              <w:rPr>
                <w:rFonts w:hint="eastAsia" w:ascii="仿宋_GB2312" w:hAnsi="宋体" w:eastAsia="仿宋_GB2312"/>
                <w:color w:val="000000"/>
                <w:sz w:val="18"/>
                <w:szCs w:val="18"/>
              </w:rPr>
              <w:t>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■单位公示栏</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w:t>
            </w:r>
          </w:p>
        </w:tc>
        <w:tc>
          <w:tcPr>
            <w:tcW w:w="9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公证服务</w:t>
            </w:r>
          </w:p>
        </w:tc>
        <w:tc>
          <w:tcPr>
            <w:tcW w:w="1440" w:type="dxa"/>
            <w:noWrap w:val="0"/>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公证机构相关信息查询</w:t>
            </w:r>
          </w:p>
        </w:tc>
        <w:tc>
          <w:tcPr>
            <w:tcW w:w="1620" w:type="dxa"/>
            <w:noWrap w:val="0"/>
            <w:vAlign w:val="center"/>
          </w:tcPr>
          <w:p>
            <w:pPr>
              <w:tabs>
                <w:tab w:val="center" w:pos="4153"/>
                <w:tab w:val="right" w:pos="8306"/>
              </w:tabs>
              <w:snapToGrid w:val="0"/>
              <w:spacing w:line="360" w:lineRule="auto"/>
              <w:rPr>
                <w:rFonts w:hint="eastAsia" w:ascii="仿宋_GB2312" w:hAnsi="宋体" w:eastAsia="仿宋_GB2312"/>
                <w:color w:val="000000"/>
                <w:sz w:val="18"/>
                <w:szCs w:val="18"/>
                <w:lang w:eastAsia="zh-CN"/>
              </w:rPr>
            </w:pPr>
            <w:r>
              <w:rPr>
                <w:rFonts w:hint="eastAsia" w:ascii="仿宋_GB2312" w:hAnsi="Times New Roman" w:eastAsia="仿宋_GB2312" w:cs="仿宋_GB2312"/>
                <w:color w:val="000000"/>
                <w:sz w:val="18"/>
                <w:szCs w:val="18"/>
              </w:rPr>
              <w:t>公证员、公证处有关基本信息、从业信息</w:t>
            </w:r>
            <w:r>
              <w:rPr>
                <w:rFonts w:hint="eastAsia" w:ascii="仿宋_GB2312" w:hAnsi="Times New Roman" w:eastAsia="仿宋_GB2312" w:cs="仿宋_GB2312"/>
                <w:color w:val="000000"/>
                <w:sz w:val="18"/>
                <w:szCs w:val="18"/>
                <w:lang w:eastAsia="zh-CN"/>
              </w:rPr>
              <w:t>、收费标准等</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Times New Roman" w:eastAsia="仿宋_GB2312" w:cs="仿宋_GB2312"/>
                <w:color w:val="000000"/>
                <w:sz w:val="18"/>
                <w:szCs w:val="18"/>
              </w:rPr>
              <w:t>《司法部关于推进公共法律服务平台建设的意见》（司发〔2017〕9号）</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Times New Roman" w:eastAsia="仿宋_GB2312" w:cs="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宁明县司法局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 xml:space="preserve">■公开查阅点 </w:t>
            </w:r>
          </w:p>
        </w:tc>
        <w:tc>
          <w:tcPr>
            <w:tcW w:w="54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s="Times New Roman"/>
                <w:color w:val="000000"/>
                <w:kern w:val="2"/>
                <w:sz w:val="18"/>
                <w:szCs w:val="18"/>
                <w:lang w:val="en-US" w:eastAsia="zh-CN" w:bidi="ar-SA"/>
              </w:rPr>
            </w:pPr>
          </w:p>
        </w:tc>
        <w:tc>
          <w:tcPr>
            <w:tcW w:w="54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s="Times New Roman"/>
                <w:color w:val="000000"/>
                <w:kern w:val="2"/>
                <w:sz w:val="18"/>
                <w:szCs w:val="18"/>
                <w:lang w:val="en-US" w:eastAsia="zh-CN" w:bidi="ar-SA"/>
              </w:rPr>
            </w:pPr>
          </w:p>
        </w:tc>
        <w:tc>
          <w:tcPr>
            <w:tcW w:w="54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both"/>
              <w:rPr>
                <w:rFonts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0" w:type="auto"/>
            <w:noWrap w:val="0"/>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法律服务机构、人员信息查询服务</w:t>
            </w:r>
          </w:p>
        </w:tc>
        <w:tc>
          <w:tcPr>
            <w:tcW w:w="0" w:type="auto"/>
            <w:noWrap w:val="0"/>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eastAsia="zh-CN"/>
              </w:rPr>
              <w:t>宁明县内</w:t>
            </w:r>
            <w:r>
              <w:rPr>
                <w:rFonts w:hint="eastAsia" w:ascii="仿宋_GB2312" w:hAnsi="宋体" w:eastAsia="仿宋_GB2312"/>
                <w:color w:val="000000"/>
                <w:sz w:val="18"/>
                <w:szCs w:val="18"/>
              </w:rPr>
              <w:t>的律师、公证、基层法律服务等法律服务机构和人员有关基本信息、从业信息和信用信息等</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0" w:type="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w:t>
            </w:r>
            <w:r>
              <w:rPr>
                <w:rFonts w:hint="eastAsia" w:ascii="仿宋_GB2312" w:hAnsi="宋体" w:eastAsia="仿宋_GB2312"/>
                <w:color w:val="000000"/>
                <w:sz w:val="18"/>
                <w:szCs w:val="18"/>
                <w:lang w:eastAsia="zh-CN"/>
              </w:rPr>
              <w:t>或</w:t>
            </w:r>
            <w:r>
              <w:rPr>
                <w:rFonts w:hint="eastAsia" w:ascii="仿宋_GB2312" w:hAnsi="宋体" w:eastAsia="仿宋_GB2312"/>
                <w:color w:val="000000"/>
                <w:sz w:val="18"/>
                <w:szCs w:val="18"/>
              </w:rPr>
              <w:t>获取该信息之日起20个工作日内公开</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宁明县司法局</w:t>
            </w:r>
          </w:p>
        </w:tc>
        <w:tc>
          <w:tcPr>
            <w:tcW w:w="0" w:type="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w:t>
            </w:r>
          </w:p>
          <w:p>
            <w:pPr>
              <w:widowControl/>
              <w:jc w:val="left"/>
              <w:textAlignment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服务</w:t>
            </w:r>
          </w:p>
        </w:tc>
        <w:tc>
          <w:tcPr>
            <w:tcW w:w="0" w:type="auto"/>
            <w:noWrap w:val="0"/>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公共法律服务热线平台、网络平台咨询服务</w:t>
            </w:r>
          </w:p>
        </w:tc>
        <w:tc>
          <w:tcPr>
            <w:tcW w:w="0" w:type="auto"/>
            <w:noWrap w:val="0"/>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eastAsia="zh-CN"/>
              </w:rPr>
              <w:t>宁明</w:t>
            </w:r>
            <w:bookmarkStart w:id="0" w:name="_GoBack"/>
            <w:bookmarkEnd w:id="0"/>
            <w:r>
              <w:rPr>
                <w:rFonts w:hint="eastAsia" w:ascii="仿宋_GB2312" w:hAnsi="宋体" w:eastAsia="仿宋_GB2312"/>
                <w:color w:val="000000"/>
                <w:sz w:val="18"/>
                <w:szCs w:val="18"/>
                <w:lang w:eastAsia="zh-CN"/>
              </w:rPr>
              <w:t>县</w:t>
            </w:r>
            <w:r>
              <w:rPr>
                <w:rFonts w:hint="eastAsia" w:ascii="仿宋_GB2312" w:hAnsi="宋体" w:eastAsia="仿宋_GB2312"/>
                <w:color w:val="000000"/>
                <w:sz w:val="18"/>
                <w:szCs w:val="18"/>
              </w:rPr>
              <w:t>公共法律服务法律咨询服务指南</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0" w:type="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0" w:type="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宁明县司法局</w:t>
            </w:r>
          </w:p>
        </w:tc>
        <w:tc>
          <w:tcPr>
            <w:tcW w:w="0" w:type="auto"/>
            <w:noWrap w:val="0"/>
            <w:vAlign w:val="center"/>
          </w:tcPr>
          <w:p>
            <w:pPr>
              <w:widowControl/>
              <w:jc w:val="left"/>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■公开查阅点  </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900" w:type="dxa"/>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公共法律服务平台</w:t>
            </w:r>
          </w:p>
        </w:tc>
        <w:tc>
          <w:tcPr>
            <w:tcW w:w="0" w:type="auto"/>
            <w:noWrap w:val="0"/>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公共法律服务实体、热线、网络平台信息</w:t>
            </w:r>
          </w:p>
        </w:tc>
        <w:tc>
          <w:tcPr>
            <w:tcW w:w="0" w:type="auto"/>
            <w:noWrap w:val="0"/>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eastAsia="zh-CN"/>
              </w:rPr>
              <w:t>宁明县</w:t>
            </w:r>
            <w:r>
              <w:rPr>
                <w:rFonts w:hint="eastAsia" w:ascii="仿宋_GB2312" w:hAnsi="宋体" w:eastAsia="仿宋_GB2312"/>
                <w:color w:val="000000"/>
                <w:sz w:val="18"/>
                <w:szCs w:val="18"/>
              </w:rPr>
              <w:t>公共法律服务中心具体地址；12348公共法律服务热线号码</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0" w:type="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0" w:type="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宁明县司法局</w:t>
            </w:r>
          </w:p>
        </w:tc>
        <w:tc>
          <w:tcPr>
            <w:tcW w:w="0" w:type="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ascii="仿宋_GB2312" w:hAnsi="宋体" w:eastAsia="仿宋_GB2312" w:cs="Times New Roman"/>
                <w:color w:val="000000"/>
                <w:kern w:val="2"/>
                <w:sz w:val="18"/>
                <w:szCs w:val="18"/>
                <w:lang w:val="en-US" w:eastAsia="zh-CN" w:bidi="ar-SA"/>
              </w:rPr>
            </w:pP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0" w:type="auto"/>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bl>
    <w:p>
      <w:pPr>
        <w:ind w:firstLine="300" w:firstLineChars="100"/>
        <w:rPr>
          <w:rFonts w:hint="eastAsia" w:ascii="方正小标宋_GBK" w:hAnsi="方正小标宋_GBK" w:eastAsia="方正小标宋_GBK"/>
          <w:b/>
          <w:bCs/>
          <w:sz w:val="30"/>
        </w:rPr>
      </w:pPr>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5DE1"/>
    <w:rsid w:val="7CE83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合拍</cp:lastModifiedBy>
  <dcterms:modified xsi:type="dcterms:W3CDTF">2020-11-13T03:21:02Z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