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left"/>
        <w:rPr>
          <w:rFonts w:ascii="宋体" w:hAnsi="宋体" w:eastAsia="宋体"/>
          <w:b/>
        </w:rPr>
      </w:pPr>
      <w:r>
        <w:rPr>
          <w:rFonts w:hint="eastAsia" w:ascii="宋体" w:hAnsi="宋体" w:eastAsia="宋体"/>
          <w:b/>
        </w:rPr>
        <w:t>附件3</w:t>
      </w:r>
    </w:p>
    <w:p>
      <w:pPr>
        <w:widowControl/>
        <w:jc w:val="center"/>
        <w:rPr>
          <w:rFonts w:hint="eastAsia" w:ascii="宋体" w:hAnsi="宋体" w:eastAsia="宋体"/>
          <w:b/>
          <w:sz w:val="44"/>
          <w:szCs w:val="44"/>
        </w:rPr>
      </w:pPr>
      <w:r>
        <w:rPr>
          <w:rFonts w:hint="eastAsia" w:ascii="宋体" w:hAnsi="宋体" w:eastAsia="宋体"/>
          <w:b/>
          <w:sz w:val="44"/>
          <w:szCs w:val="44"/>
          <w:u w:val="single"/>
          <w:lang w:val="en-US" w:eastAsia="zh-CN"/>
        </w:rPr>
        <w:t xml:space="preserve">  江州</w:t>
      </w:r>
      <w:bookmarkStart w:id="0" w:name="_GoBack"/>
      <w:bookmarkEnd w:id="0"/>
      <w:r>
        <w:rPr>
          <w:rFonts w:hint="eastAsia" w:ascii="宋体" w:hAnsi="宋体" w:eastAsia="宋体"/>
          <w:b/>
          <w:sz w:val="44"/>
          <w:szCs w:val="44"/>
          <w:u w:val="single"/>
          <w:lang w:val="en-US" w:eastAsia="zh-CN"/>
        </w:rPr>
        <w:t xml:space="preserve">  </w:t>
      </w:r>
      <w:r>
        <w:rPr>
          <w:rFonts w:hint="eastAsia" w:ascii="宋体" w:hAnsi="宋体" w:eastAsia="宋体"/>
          <w:b/>
          <w:sz w:val="44"/>
          <w:szCs w:val="44"/>
          <w:lang w:val="en-US" w:eastAsia="zh-CN"/>
        </w:rPr>
        <w:t>县（市、区）公共法律服务领域</w:t>
      </w:r>
      <w:r>
        <w:rPr>
          <w:rFonts w:hint="eastAsia" w:ascii="宋体" w:hAnsi="宋体" w:eastAsia="宋体"/>
          <w:b/>
          <w:sz w:val="44"/>
          <w:szCs w:val="44"/>
        </w:rPr>
        <w:t>基层政务公开事项标准目录</w:t>
      </w:r>
    </w:p>
    <w:p>
      <w:pPr>
        <w:widowControl/>
        <w:jc w:val="left"/>
        <w:rPr>
          <w:rFonts w:hint="default" w:eastAsia="仿宋"/>
          <w:lang w:val="en-US" w:eastAsia="zh-CN"/>
        </w:rPr>
      </w:pPr>
      <w:r>
        <w:rPr>
          <w:rFonts w:hint="eastAsia"/>
        </w:rPr>
        <w:t>单位</w:t>
      </w:r>
      <w:r>
        <w:rPr>
          <w:rFonts w:hint="eastAsia"/>
          <w:lang w:eastAsia="zh-CN"/>
        </w:rPr>
        <w:t>（</w:t>
      </w:r>
      <w:r>
        <w:rPr>
          <w:rFonts w:hint="eastAsia"/>
          <w:lang w:val="en-US" w:eastAsia="zh-CN"/>
        </w:rPr>
        <w:t>盖章）</w:t>
      </w:r>
      <w:r>
        <w:rPr>
          <w:rFonts w:hint="eastAsia"/>
        </w:rPr>
        <w:t>：</w:t>
      </w:r>
      <w:r>
        <w:rPr>
          <w:rFonts w:hint="eastAsia"/>
          <w:lang w:val="en-US" w:eastAsia="zh-CN"/>
        </w:rPr>
        <w:t xml:space="preserve">       县（市、区）司法局</w:t>
      </w:r>
    </w:p>
    <w:tbl>
      <w:tblPr>
        <w:tblStyle w:val="11"/>
        <w:tblpPr w:leftFromText="180" w:rightFromText="180" w:vertAnchor="text" w:horzAnchor="page" w:tblpX="1504" w:tblpY="118"/>
        <w:tblOverlap w:val="never"/>
        <w:tblW w:w="141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
        <w:gridCol w:w="656"/>
        <w:gridCol w:w="1417"/>
        <w:gridCol w:w="1636"/>
        <w:gridCol w:w="750"/>
        <w:gridCol w:w="2032"/>
        <w:gridCol w:w="805"/>
        <w:gridCol w:w="1977"/>
        <w:gridCol w:w="832"/>
        <w:gridCol w:w="777"/>
        <w:gridCol w:w="600"/>
        <w:gridCol w:w="941"/>
        <w:gridCol w:w="532"/>
        <w:gridCol w:w="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序号</w:t>
            </w:r>
          </w:p>
        </w:tc>
        <w:tc>
          <w:tcPr>
            <w:tcW w:w="2073"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公开事项</w:t>
            </w:r>
          </w:p>
        </w:tc>
        <w:tc>
          <w:tcPr>
            <w:tcW w:w="1636"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公开内容（要素）</w:t>
            </w:r>
          </w:p>
        </w:tc>
        <w:tc>
          <w:tcPr>
            <w:tcW w:w="750"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公开主体</w:t>
            </w:r>
          </w:p>
        </w:tc>
        <w:tc>
          <w:tcPr>
            <w:tcW w:w="2032"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公开依据</w:t>
            </w:r>
          </w:p>
        </w:tc>
        <w:tc>
          <w:tcPr>
            <w:tcW w:w="805"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公开时限</w:t>
            </w:r>
          </w:p>
        </w:tc>
        <w:tc>
          <w:tcPr>
            <w:tcW w:w="1977" w:type="dxa"/>
            <w:vMerge w:val="restart"/>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公开渠道和载体</w:t>
            </w:r>
          </w:p>
        </w:tc>
        <w:tc>
          <w:tcPr>
            <w:tcW w:w="1609"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公开对象</w:t>
            </w:r>
          </w:p>
        </w:tc>
        <w:tc>
          <w:tcPr>
            <w:tcW w:w="1541"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公开方式</w:t>
            </w:r>
          </w:p>
        </w:tc>
        <w:tc>
          <w:tcPr>
            <w:tcW w:w="1306" w:type="dxa"/>
            <w:gridSpan w:val="2"/>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Merge w:val="continue"/>
            <w:vAlign w:val="center"/>
          </w:tcPr>
          <w:p>
            <w:pPr>
              <w:widowControl/>
              <w:jc w:val="center"/>
              <w:rPr>
                <w:rFonts w:hint="eastAsia" w:ascii="宋体" w:hAnsi="宋体" w:eastAsia="宋体" w:cs="宋体"/>
                <w:b/>
                <w:bCs/>
                <w:sz w:val="24"/>
                <w:szCs w:val="24"/>
              </w:rPr>
            </w:pPr>
          </w:p>
        </w:tc>
        <w:tc>
          <w:tcPr>
            <w:tcW w:w="656"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一级事项</w:t>
            </w:r>
          </w:p>
        </w:tc>
        <w:tc>
          <w:tcPr>
            <w:tcW w:w="1417"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二级事项</w:t>
            </w:r>
          </w:p>
        </w:tc>
        <w:tc>
          <w:tcPr>
            <w:tcW w:w="1636" w:type="dxa"/>
            <w:vMerge w:val="continue"/>
            <w:vAlign w:val="center"/>
          </w:tcPr>
          <w:p>
            <w:pPr>
              <w:widowControl/>
              <w:jc w:val="center"/>
              <w:rPr>
                <w:rFonts w:hint="eastAsia" w:ascii="宋体" w:hAnsi="宋体" w:eastAsia="宋体" w:cs="宋体"/>
                <w:b/>
                <w:bCs/>
                <w:sz w:val="24"/>
                <w:szCs w:val="24"/>
              </w:rPr>
            </w:pPr>
          </w:p>
        </w:tc>
        <w:tc>
          <w:tcPr>
            <w:tcW w:w="750" w:type="dxa"/>
            <w:vMerge w:val="continue"/>
            <w:vAlign w:val="center"/>
          </w:tcPr>
          <w:p>
            <w:pPr>
              <w:widowControl/>
              <w:jc w:val="center"/>
              <w:rPr>
                <w:rFonts w:hint="eastAsia" w:ascii="宋体" w:hAnsi="宋体" w:eastAsia="宋体" w:cs="宋体"/>
                <w:b/>
                <w:bCs/>
                <w:sz w:val="24"/>
                <w:szCs w:val="24"/>
              </w:rPr>
            </w:pPr>
          </w:p>
        </w:tc>
        <w:tc>
          <w:tcPr>
            <w:tcW w:w="2032" w:type="dxa"/>
            <w:vMerge w:val="continue"/>
            <w:vAlign w:val="center"/>
          </w:tcPr>
          <w:p>
            <w:pPr>
              <w:widowControl/>
              <w:jc w:val="center"/>
              <w:rPr>
                <w:rFonts w:hint="eastAsia" w:ascii="宋体" w:hAnsi="宋体" w:eastAsia="宋体" w:cs="宋体"/>
                <w:b/>
                <w:bCs/>
                <w:sz w:val="24"/>
                <w:szCs w:val="24"/>
              </w:rPr>
            </w:pPr>
          </w:p>
        </w:tc>
        <w:tc>
          <w:tcPr>
            <w:tcW w:w="805" w:type="dxa"/>
            <w:vMerge w:val="continue"/>
            <w:vAlign w:val="center"/>
          </w:tcPr>
          <w:p>
            <w:pPr>
              <w:widowControl/>
              <w:jc w:val="center"/>
              <w:rPr>
                <w:rFonts w:hint="eastAsia" w:ascii="宋体" w:hAnsi="宋体" w:eastAsia="宋体" w:cs="宋体"/>
                <w:b/>
                <w:bCs/>
                <w:sz w:val="24"/>
                <w:szCs w:val="24"/>
              </w:rPr>
            </w:pPr>
          </w:p>
        </w:tc>
        <w:tc>
          <w:tcPr>
            <w:tcW w:w="1977" w:type="dxa"/>
            <w:vMerge w:val="continue"/>
            <w:vAlign w:val="center"/>
          </w:tcPr>
          <w:p>
            <w:pPr>
              <w:widowControl/>
              <w:jc w:val="center"/>
              <w:rPr>
                <w:rFonts w:hint="eastAsia" w:ascii="宋体" w:hAnsi="宋体" w:eastAsia="宋体" w:cs="宋体"/>
                <w:b/>
                <w:bCs/>
                <w:sz w:val="24"/>
                <w:szCs w:val="24"/>
              </w:rPr>
            </w:pPr>
          </w:p>
        </w:tc>
        <w:tc>
          <w:tcPr>
            <w:tcW w:w="832"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全社会</w:t>
            </w:r>
          </w:p>
        </w:tc>
        <w:tc>
          <w:tcPr>
            <w:tcW w:w="777"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特定群众</w:t>
            </w:r>
          </w:p>
        </w:tc>
        <w:tc>
          <w:tcPr>
            <w:tcW w:w="600"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主动</w:t>
            </w:r>
          </w:p>
        </w:tc>
        <w:tc>
          <w:tcPr>
            <w:tcW w:w="941"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依申请公开</w:t>
            </w:r>
          </w:p>
        </w:tc>
        <w:tc>
          <w:tcPr>
            <w:tcW w:w="532"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县级</w:t>
            </w:r>
          </w:p>
        </w:tc>
        <w:tc>
          <w:tcPr>
            <w:tcW w:w="774" w:type="dxa"/>
            <w:vAlign w:val="center"/>
          </w:tcPr>
          <w:p>
            <w:pPr>
              <w:widowControl/>
              <w:jc w:val="center"/>
              <w:rPr>
                <w:rFonts w:hint="eastAsia" w:ascii="宋体" w:hAnsi="宋体" w:eastAsia="宋体" w:cs="宋体"/>
                <w:b/>
                <w:bCs/>
                <w:sz w:val="24"/>
                <w:szCs w:val="24"/>
              </w:rPr>
            </w:pPr>
            <w:r>
              <w:rPr>
                <w:rFonts w:hint="eastAsia" w:ascii="宋体" w:hAnsi="宋体" w:eastAsia="宋体" w:cs="宋体"/>
                <w:b/>
                <w:bCs/>
                <w:sz w:val="24"/>
                <w:szCs w:val="24"/>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1</w:t>
            </w:r>
          </w:p>
        </w:tc>
        <w:tc>
          <w:tcPr>
            <w:tcW w:w="656" w:type="dxa"/>
            <w:vMerge w:val="restart"/>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法治宣传教育</w:t>
            </w:r>
          </w:p>
        </w:tc>
        <w:tc>
          <w:tcPr>
            <w:tcW w:w="1417"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法律知识普及服务</w:t>
            </w:r>
          </w:p>
        </w:tc>
        <w:tc>
          <w:tcPr>
            <w:tcW w:w="1636"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val="en-US" w:eastAsia="zh-CN"/>
              </w:rPr>
              <w:t>1.法律法规资讯；</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2.普法动态资讯</w:t>
            </w:r>
          </w:p>
        </w:tc>
        <w:tc>
          <w:tcPr>
            <w:tcW w:w="7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中共中央、国务院转发&lt;中央宣传部、司法部关于在公民中开展法治宣传教育的第七个五年规划（2016-2020年）&gt;》、《广西“七五”普法规划》《崇左市“七五”普法规划》</w:t>
            </w:r>
          </w:p>
        </w:tc>
        <w:tc>
          <w:tcPr>
            <w:tcW w:w="805"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自</w:t>
            </w:r>
            <w:r>
              <w:rPr>
                <w:rFonts w:hint="eastAsia" w:ascii="宋体" w:hAnsi="宋体" w:eastAsia="宋体" w:cs="宋体"/>
                <w:color w:val="000000"/>
                <w:sz w:val="21"/>
                <w:szCs w:val="21"/>
              </w:rPr>
              <w:t>制</w:t>
            </w:r>
            <w:r>
              <w:rPr>
                <w:rFonts w:hint="eastAsia" w:ascii="宋体" w:hAnsi="宋体" w:eastAsia="宋体" w:cs="宋体"/>
                <w:color w:val="000000"/>
                <w:sz w:val="21"/>
                <w:szCs w:val="21"/>
                <w:lang w:val="en-US" w:eastAsia="zh-CN"/>
              </w:rPr>
              <w:t>作</w:t>
            </w:r>
            <w:r>
              <w:rPr>
                <w:rFonts w:hint="eastAsia" w:ascii="宋体" w:hAnsi="宋体" w:eastAsia="宋体" w:cs="宋体"/>
                <w:color w:val="000000"/>
                <w:sz w:val="21"/>
                <w:szCs w:val="21"/>
              </w:rPr>
              <w:t>或获取</w:t>
            </w:r>
            <w:r>
              <w:rPr>
                <w:rFonts w:hint="eastAsia" w:ascii="宋体" w:hAnsi="宋体" w:eastAsia="宋体" w:cs="宋体"/>
                <w:color w:val="000000"/>
                <w:sz w:val="21"/>
                <w:szCs w:val="21"/>
                <w:lang w:val="en-US" w:eastAsia="zh-CN"/>
              </w:rPr>
              <w:t>该</w:t>
            </w:r>
            <w:r>
              <w:rPr>
                <w:rFonts w:hint="eastAsia" w:ascii="宋体" w:hAnsi="宋体" w:eastAsia="宋体" w:cs="宋体"/>
                <w:color w:val="000000"/>
                <w:sz w:val="21"/>
                <w:szCs w:val="21"/>
              </w:rPr>
              <w:t>信息之日起</w:t>
            </w:r>
            <w:r>
              <w:rPr>
                <w:rFonts w:hint="eastAsia" w:ascii="宋体" w:hAnsi="宋体" w:eastAsia="宋体" w:cs="宋体"/>
                <w:color w:val="000000"/>
                <w:sz w:val="21"/>
                <w:szCs w:val="21"/>
                <w:lang w:val="en-US" w:eastAsia="zh-CN"/>
              </w:rPr>
              <w:t>2</w:t>
            </w:r>
            <w:r>
              <w:rPr>
                <w:rFonts w:hint="eastAsia" w:ascii="宋体" w:hAnsi="宋体" w:eastAsia="宋体" w:cs="宋体"/>
                <w:color w:val="000000"/>
                <w:sz w:val="21"/>
                <w:szCs w:val="21"/>
              </w:rPr>
              <w:t>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r>
              <w:rPr>
                <w:rFonts w:hint="eastAsia" w:ascii="宋体" w:hAnsi="宋体" w:eastAsia="宋体" w:cs="宋体"/>
                <w:color w:val="000000"/>
                <w:sz w:val="21"/>
                <w:szCs w:val="21"/>
              </w:rPr>
              <w:t xml:space="preserve"> </w:t>
            </w:r>
          </w:p>
          <w:p>
            <w:pPr>
              <w:widowControl/>
              <w:rPr>
                <w:rFonts w:hint="eastAsia" w:ascii="宋体" w:hAnsi="宋体" w:eastAsia="宋体" w:cs="宋体"/>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2</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推广法治文化服务</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1.辖区内法治文化阵地信息；</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2.法治文化作品、产品</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中共中央、国务院转发&lt;中央宣传部、司法部关于在公民中开展法治宣传教育的第七个五年规划（2016-2020年）&gt;》《广西“七五”普法规划》《崇左市“七五”普法规划》</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 xml:space="preserve">其他 </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kern w:val="2"/>
                <w:sz w:val="21"/>
                <w:szCs w:val="21"/>
                <w:lang w:val="en-US" w:eastAsia="zh-CN" w:bidi="ar-SA"/>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kern w:val="2"/>
                <w:sz w:val="21"/>
                <w:szCs w:val="21"/>
                <w:lang w:val="en-US" w:eastAsia="zh-CN" w:bidi="ar-SA"/>
              </w:rPr>
            </w:pPr>
          </w:p>
        </w:tc>
        <w:tc>
          <w:tcPr>
            <w:tcW w:w="600"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kern w:val="2"/>
                <w:sz w:val="21"/>
                <w:szCs w:val="21"/>
                <w:lang w:val="en-US" w:eastAsia="zh-CN" w:bidi="ar-SA"/>
              </w:rPr>
            </w:pPr>
          </w:p>
        </w:tc>
        <w:tc>
          <w:tcPr>
            <w:tcW w:w="532"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kern w:val="2"/>
                <w:sz w:val="21"/>
                <w:szCs w:val="21"/>
                <w:lang w:val="en-US" w:eastAsia="zh-CN" w:bidi="ar-SA"/>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eastAsia="zh-CN"/>
              </w:rPr>
            </w:pPr>
            <w:r>
              <w:rPr>
                <w:rFonts w:hint="eastAsia" w:ascii="宋体" w:hAnsi="宋体" w:eastAsia="宋体" w:cs="宋体"/>
                <w:sz w:val="21"/>
                <w:szCs w:val="21"/>
                <w:lang w:val="en-US" w:eastAsia="zh-CN"/>
              </w:rPr>
              <w:t>3</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对在法治宣传教育工作中做出显著成绩的单位和个人进行表彰奖励</w:t>
            </w:r>
          </w:p>
        </w:tc>
        <w:tc>
          <w:tcPr>
            <w:tcW w:w="163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color w:val="000000"/>
                <w:sz w:val="21"/>
                <w:szCs w:val="21"/>
                <w:lang w:val="en-US" w:eastAsia="zh-CN"/>
              </w:rPr>
              <w:t>1.评选表彰通知；</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2.先进集体和个人申报表（空白表）；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3.拟表彰的先进集体先进个人名单；</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中共中央、国务院转发&lt;中央宣传部、司法部关于在公民中开展法治宣传教育的第七个五年规划（2016-2020年）&gt;》《广西“七五”普法规划》《崇左市“七五”普法规划》</w:t>
            </w:r>
          </w:p>
        </w:tc>
        <w:tc>
          <w:tcPr>
            <w:tcW w:w="805"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color w:val="000000"/>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 xml:space="preserve">其他 </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5</w:t>
            </w:r>
          </w:p>
        </w:tc>
        <w:tc>
          <w:tcPr>
            <w:tcW w:w="656" w:type="dxa"/>
            <w:vMerge w:val="restart"/>
            <w:vAlign w:val="center"/>
          </w:tcPr>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eastAsia" w:ascii="宋体" w:hAnsi="宋体" w:eastAsia="宋体" w:cs="宋体"/>
                <w:sz w:val="21"/>
                <w:szCs w:val="21"/>
                <w:lang w:val="en-US" w:eastAsia="zh-CN"/>
              </w:rPr>
            </w:pPr>
          </w:p>
          <w:p>
            <w:pPr>
              <w:widowControl/>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w:t>
            </w: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法律援助服务</w:t>
            </w:r>
          </w:p>
        </w:tc>
        <w:tc>
          <w:tcPr>
            <w:tcW w:w="1636" w:type="dxa"/>
            <w:vAlign w:val="center"/>
          </w:tcPr>
          <w:p>
            <w:pPr>
              <w:widowControl/>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1.给予法律援助决定书；</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2.不予法律援助决定书；</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3.指派通知书</w:t>
            </w:r>
          </w:p>
        </w:tc>
        <w:tc>
          <w:tcPr>
            <w:tcW w:w="750" w:type="dxa"/>
            <w:vAlign w:val="center"/>
          </w:tcPr>
          <w:p>
            <w:pPr>
              <w:widowControl/>
              <w:jc w:val="both"/>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法律援助机构</w:t>
            </w:r>
          </w:p>
        </w:tc>
        <w:tc>
          <w:tcPr>
            <w:tcW w:w="2032" w:type="dxa"/>
            <w:vAlign w:val="center"/>
          </w:tcPr>
          <w:p>
            <w:pPr>
              <w:widowControl/>
              <w:jc w:val="both"/>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法律援助条例》《广西法律援助条例》</w:t>
            </w:r>
          </w:p>
        </w:tc>
        <w:tc>
          <w:tcPr>
            <w:tcW w:w="805" w:type="dxa"/>
            <w:vAlign w:val="center"/>
          </w:tcPr>
          <w:p>
            <w:pPr>
              <w:widowControl/>
              <w:jc w:val="both"/>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jc w:val="both"/>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jc w:val="both"/>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jc w:val="both"/>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jc w:val="both"/>
              <w:rPr>
                <w:rFonts w:hint="eastAsia" w:ascii="宋体" w:hAnsi="宋体" w:eastAsia="宋体" w:cs="宋体"/>
                <w:color w:val="000000"/>
                <w:sz w:val="21"/>
                <w:szCs w:val="21"/>
              </w:rPr>
            </w:pPr>
            <w:r>
              <w:rPr>
                <w:rFonts w:hint="eastAsia" w:ascii="宋体" w:hAnsi="宋体" w:eastAsia="宋体" w:cs="宋体"/>
                <w:color w:val="000000"/>
                <w:sz w:val="21"/>
                <w:szCs w:val="21"/>
              </w:rPr>
              <w:t>□其他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default" w:ascii="宋体" w:hAnsi="宋体" w:eastAsia="宋体" w:cs="宋体"/>
                <w:sz w:val="21"/>
                <w:szCs w:val="21"/>
                <w:lang w:val="en-US"/>
              </w:rPr>
            </w:pPr>
            <w:r>
              <w:rPr>
                <w:rFonts w:hint="eastAsia" w:ascii="宋体" w:hAnsi="宋体" w:eastAsia="宋体" w:cs="宋体"/>
                <w:sz w:val="21"/>
                <w:szCs w:val="21"/>
                <w:lang w:val="en-US" w:eastAsia="zh-CN"/>
              </w:rPr>
              <w:t>法律援助申请人、受指派的律师事务所或其他组织等</w:t>
            </w: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6</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法律援助办案人员办案补贴的审核发放</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案件补贴审核发放表</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法律援助机构</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□其他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p>
        </w:tc>
        <w:tc>
          <w:tcPr>
            <w:tcW w:w="941"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7</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对法律援助机构不予援助决定异议的审查</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处理决定书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□其他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p>
        </w:tc>
        <w:tc>
          <w:tcPr>
            <w:tcW w:w="941"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8</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jc w:val="center"/>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对在法律援助工作中作出突出贡献的组织和个人进行表彰奖励</w:t>
            </w:r>
          </w:p>
        </w:tc>
        <w:tc>
          <w:tcPr>
            <w:tcW w:w="1636"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1.评选表彰通知；</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2.先进集体和个人申报表（空白表）；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3.拟表彰的先进集体先进个人名单；</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《法律援助条例》《广西法律援助条例》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9</w:t>
            </w:r>
          </w:p>
        </w:tc>
        <w:tc>
          <w:tcPr>
            <w:tcW w:w="656" w:type="dxa"/>
            <w:vMerge w:val="restart"/>
            <w:vAlign w:val="center"/>
          </w:tcPr>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eastAsia" w:ascii="宋体" w:hAnsi="宋体" w:eastAsia="宋体" w:cs="宋体"/>
                <w:sz w:val="21"/>
                <w:szCs w:val="21"/>
                <w:lang w:val="en-US" w:eastAsia="zh-CN"/>
              </w:rPr>
            </w:pPr>
          </w:p>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基层法律服务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基层法律服务工作者执业核准许可</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不予受理通知书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lang w:eastAsia="zh-CN"/>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□其他</w:t>
            </w:r>
            <w:r>
              <w:rPr>
                <w:rFonts w:hint="eastAsia" w:ascii="宋体" w:hAnsi="宋体" w:eastAsia="宋体" w:cs="宋体"/>
                <w:color w:val="000000"/>
                <w:sz w:val="21"/>
                <w:szCs w:val="21"/>
              </w:rPr>
              <w:br w:type="textWrapping"/>
            </w: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lang w:val="en-US" w:eastAsia="zh-CN"/>
              </w:rPr>
              <w:t>精准推送</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p>
        </w:tc>
        <w:tc>
          <w:tcPr>
            <w:tcW w:w="777"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申请人</w:t>
            </w: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10</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对基层法律服务所、基层法律服务工作者违法违规行为的处罚</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行政处罚决定或行政处罚决定书</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基层法律服务所管理办法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11</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对基层法律服务所、基层法律服务工作者进行表彰奖励</w:t>
            </w:r>
          </w:p>
        </w:tc>
        <w:tc>
          <w:tcPr>
            <w:tcW w:w="1636"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1.评选表彰通知；</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2.先进集体和个人申报表（空白表）；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3.拟表彰的先进集体先进个人名单；</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基层法律服务所管理办法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基层法律服务工作者管理办法</w:t>
            </w:r>
            <w:r>
              <w:rPr>
                <w:rFonts w:hint="eastAsia" w:ascii="宋体" w:hAnsi="宋体" w:eastAsia="宋体" w:cs="宋体"/>
                <w:color w:val="000000"/>
                <w:sz w:val="21"/>
                <w:szCs w:val="21"/>
                <w:lang w:eastAsia="zh-CN"/>
              </w:rPr>
              <w:t>》</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12</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人民调解</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对有突出贡献的人民调解委员会和人民调解员按照国家规定给予表彰奖励</w:t>
            </w:r>
          </w:p>
        </w:tc>
        <w:tc>
          <w:tcPr>
            <w:tcW w:w="1636"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1.评选表彰通知；</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2.先进集体和个人申报表（空白表）；</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3.拟表彰的先进集体先进个人名单；</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4.表彰决定</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中华人民共和国人民调解法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人民调解委员会及调解员奖励办法</w:t>
            </w: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司法部令第15号）</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52"/>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13</w:t>
            </w:r>
          </w:p>
        </w:tc>
        <w:tc>
          <w:tcPr>
            <w:tcW w:w="656" w:type="dxa"/>
            <w:vMerge w:val="restart"/>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法律查询服务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法律法规和案例检索服务</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1.法律法规库网址或链接；</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2.典型案例库网址或链接</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中共中央、国务院转发&lt;中央宣传部、司法部关于在公民中开展法治宣传教育的第七个五年规划（2016-2020年）&gt;》《广西“七五”普法规划》《崇左市“七五”普法规划》</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 xml:space="preserve">□其他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14</w:t>
            </w:r>
          </w:p>
        </w:tc>
        <w:tc>
          <w:tcPr>
            <w:tcW w:w="656" w:type="dxa"/>
            <w:vMerge w:val="continue"/>
            <w:vAlign w:val="center"/>
          </w:tcPr>
          <w:p>
            <w:pPr>
              <w:widowControl/>
              <w:rPr>
                <w:rFonts w:hint="eastAsia" w:ascii="宋体" w:hAnsi="宋体" w:eastAsia="宋体" w:cs="宋体"/>
                <w:sz w:val="21"/>
                <w:szCs w:val="21"/>
              </w:rPr>
            </w:pP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法律服务机构、人员信息查询服务</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辖区内的律师、公证、基层法律服务、司法鉴定、仲裁、人民调解等法律服务人员有关基本信息、从业信息和信用信息等</w:t>
            </w:r>
          </w:p>
        </w:tc>
        <w:tc>
          <w:tcPr>
            <w:tcW w:w="7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司法行政部门</w:t>
            </w:r>
          </w:p>
        </w:tc>
        <w:tc>
          <w:tcPr>
            <w:tcW w:w="2032"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w:t>
            </w:r>
            <w:r>
              <w:rPr>
                <w:rFonts w:hint="eastAsia" w:ascii="宋体" w:hAnsi="宋体" w:eastAsia="宋体" w:cs="宋体"/>
                <w:color w:val="000000"/>
                <w:sz w:val="21"/>
                <w:szCs w:val="21"/>
                <w:lang w:val="en-US" w:eastAsia="zh-CN"/>
              </w:rPr>
              <w:t>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15</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法律咨询服务</w:t>
            </w:r>
          </w:p>
        </w:tc>
        <w:tc>
          <w:tcPr>
            <w:tcW w:w="1417"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公共法律服务实体平台、热线平台、网络平台咨询服务</w:t>
            </w:r>
          </w:p>
        </w:tc>
        <w:tc>
          <w:tcPr>
            <w:tcW w:w="1636" w:type="dxa"/>
            <w:vAlign w:val="center"/>
          </w:tcPr>
          <w:p>
            <w:pPr>
              <w:widowControl/>
              <w:rPr>
                <w:rFonts w:hint="eastAsia" w:ascii="宋体" w:hAnsi="宋体" w:eastAsia="宋体" w:cs="宋体"/>
                <w:color w:val="000000"/>
                <w:sz w:val="21"/>
                <w:szCs w:val="21"/>
                <w:lang w:eastAsia="zh-CN"/>
              </w:rPr>
            </w:pPr>
            <w:r>
              <w:rPr>
                <w:rFonts w:hint="eastAsia" w:ascii="宋体" w:hAnsi="宋体" w:eastAsia="宋体" w:cs="宋体"/>
                <w:color w:val="000000"/>
                <w:sz w:val="21"/>
                <w:szCs w:val="21"/>
              </w:rPr>
              <w:t>公共法律服务实体、热线、网络平台</w:t>
            </w:r>
            <w:r>
              <w:rPr>
                <w:rFonts w:hint="eastAsia" w:ascii="宋体" w:hAnsi="宋体" w:eastAsia="宋体" w:cs="宋体"/>
                <w:color w:val="000000"/>
                <w:sz w:val="21"/>
                <w:szCs w:val="21"/>
                <w:lang w:val="en-US" w:eastAsia="zh-CN"/>
              </w:rPr>
              <w:t>法律咨询服务指南</w:t>
            </w:r>
          </w:p>
        </w:tc>
        <w:tc>
          <w:tcPr>
            <w:tcW w:w="750" w:type="dxa"/>
            <w:vAlign w:val="center"/>
          </w:tcPr>
          <w:p>
            <w:pPr>
              <w:widowControl/>
              <w:rPr>
                <w:rFonts w:hint="default" w:ascii="宋体" w:hAnsi="宋体" w:eastAsia="宋体" w:cs="宋体"/>
                <w:sz w:val="21"/>
                <w:szCs w:val="21"/>
                <w:lang w:val="en-US"/>
              </w:rPr>
            </w:pPr>
            <w:r>
              <w:rPr>
                <w:rFonts w:hint="eastAsia" w:ascii="宋体" w:hAnsi="宋体" w:eastAsia="宋体" w:cs="宋体"/>
                <w:sz w:val="21"/>
                <w:szCs w:val="21"/>
                <w:lang w:val="en-US" w:eastAsia="zh-CN"/>
              </w:rPr>
              <w:t>司法行政部门、公共法律服务中心、公共法律服务工作站</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 w:hRule="atLeast"/>
        </w:trPr>
        <w:tc>
          <w:tcPr>
            <w:tcW w:w="450"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c>
          <w:tcPr>
            <w:tcW w:w="656" w:type="dxa"/>
            <w:vAlign w:val="center"/>
          </w:tcPr>
          <w:p>
            <w:pPr>
              <w:widowControl/>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公共法律服务平台</w:t>
            </w:r>
          </w:p>
        </w:tc>
        <w:tc>
          <w:tcPr>
            <w:tcW w:w="1417" w:type="dxa"/>
            <w:vAlign w:val="center"/>
          </w:tcPr>
          <w:p>
            <w:pPr>
              <w:widowControl/>
              <w:rPr>
                <w:rFonts w:hint="default" w:ascii="宋体" w:hAnsi="宋体" w:eastAsia="宋体" w:cs="宋体"/>
                <w:color w:val="000000"/>
                <w:sz w:val="21"/>
                <w:szCs w:val="21"/>
                <w:lang w:val="en-US"/>
              </w:rPr>
            </w:pPr>
            <w:r>
              <w:rPr>
                <w:rFonts w:hint="eastAsia" w:ascii="宋体" w:hAnsi="宋体" w:eastAsia="宋体" w:cs="宋体"/>
                <w:color w:val="000000"/>
                <w:sz w:val="21"/>
                <w:szCs w:val="21"/>
                <w:lang w:val="en-US" w:eastAsia="zh-CN"/>
              </w:rPr>
              <w:t>公共法律服务实体、热线、网络平台信息</w:t>
            </w:r>
          </w:p>
        </w:tc>
        <w:tc>
          <w:tcPr>
            <w:tcW w:w="1636" w:type="dxa"/>
            <w:vAlign w:val="center"/>
          </w:tcPr>
          <w:p>
            <w:pPr>
              <w:widowControl/>
              <w:rPr>
                <w:rFonts w:hint="default" w:ascii="宋体" w:hAnsi="宋体" w:eastAsia="宋体" w:cs="宋体"/>
                <w:color w:val="000000"/>
                <w:sz w:val="21"/>
                <w:szCs w:val="21"/>
                <w:lang w:val="en-US" w:eastAsia="zh-CN"/>
              </w:rPr>
            </w:pPr>
            <w:r>
              <w:rPr>
                <w:rFonts w:hint="eastAsia" w:ascii="宋体" w:hAnsi="宋体" w:eastAsia="宋体" w:cs="宋体"/>
                <w:color w:val="000000"/>
                <w:sz w:val="21"/>
                <w:szCs w:val="21"/>
                <w:lang w:val="en-US" w:eastAsia="zh-CN"/>
              </w:rPr>
              <w:t>1.公共法律服务平台建设相关规划；</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2.公共法律服务中心、工作站具体地址；</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3.12348公共法律服务热线号码；</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4.中国法律服务网和广西法律服务网网址；</w:t>
            </w:r>
            <w:r>
              <w:rPr>
                <w:rFonts w:hint="eastAsia" w:ascii="宋体" w:hAnsi="宋体" w:eastAsia="宋体" w:cs="宋体"/>
                <w:color w:val="000000"/>
                <w:sz w:val="21"/>
                <w:szCs w:val="21"/>
                <w:lang w:val="en-US" w:eastAsia="zh-CN"/>
              </w:rPr>
              <w:br w:type="textWrapping"/>
            </w:r>
            <w:r>
              <w:rPr>
                <w:rFonts w:hint="eastAsia" w:ascii="宋体" w:hAnsi="宋体" w:eastAsia="宋体" w:cs="宋体"/>
                <w:color w:val="000000"/>
                <w:sz w:val="21"/>
                <w:szCs w:val="21"/>
                <w:lang w:val="en-US" w:eastAsia="zh-CN"/>
              </w:rPr>
              <w:t>5.三大平台提供的公共法律服务事项清单及服务指南</w:t>
            </w:r>
          </w:p>
        </w:tc>
        <w:tc>
          <w:tcPr>
            <w:tcW w:w="750" w:type="dxa"/>
            <w:vAlign w:val="center"/>
          </w:tcPr>
          <w:p>
            <w:pPr>
              <w:widowControl/>
              <w:rPr>
                <w:rFonts w:hint="eastAsia" w:ascii="宋体" w:hAnsi="宋体" w:eastAsia="宋体" w:cs="宋体"/>
                <w:sz w:val="21"/>
                <w:szCs w:val="21"/>
              </w:rPr>
            </w:pPr>
            <w:r>
              <w:rPr>
                <w:rFonts w:hint="eastAsia" w:ascii="宋体" w:hAnsi="宋体" w:eastAsia="宋体" w:cs="宋体"/>
                <w:sz w:val="21"/>
                <w:szCs w:val="21"/>
                <w:lang w:val="en-US" w:eastAsia="zh-CN"/>
              </w:rPr>
              <w:t>司法行政部门公共法律服务中心、公共法律服务工作站</w:t>
            </w:r>
          </w:p>
        </w:tc>
        <w:tc>
          <w:tcPr>
            <w:tcW w:w="2032" w:type="dxa"/>
            <w:vAlign w:val="center"/>
          </w:tcPr>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eastAsia="zh-CN"/>
              </w:rPr>
              <w:t>《</w:t>
            </w:r>
            <w:r>
              <w:rPr>
                <w:rFonts w:hint="eastAsia" w:ascii="宋体" w:hAnsi="宋体" w:eastAsia="宋体" w:cs="宋体"/>
                <w:color w:val="000000"/>
                <w:sz w:val="21"/>
                <w:szCs w:val="21"/>
                <w:lang w:val="en-US" w:eastAsia="zh-CN"/>
              </w:rPr>
              <w:t>政府信息公开条例》</w:t>
            </w:r>
          </w:p>
        </w:tc>
        <w:tc>
          <w:tcPr>
            <w:tcW w:w="805" w:type="dxa"/>
            <w:vAlign w:val="center"/>
          </w:tcPr>
          <w:p>
            <w:pPr>
              <w:widowControl/>
              <w:rPr>
                <w:rFonts w:hint="eastAsia" w:ascii="宋体" w:hAnsi="宋体" w:eastAsia="宋体" w:cs="宋体"/>
                <w:color w:val="000000"/>
                <w:sz w:val="21"/>
                <w:szCs w:val="21"/>
              </w:rPr>
            </w:pPr>
            <w:r>
              <w:rPr>
                <w:rFonts w:hint="eastAsia" w:ascii="宋体" w:hAnsi="宋体" w:eastAsia="宋体" w:cs="宋体"/>
                <w:sz w:val="21"/>
                <w:szCs w:val="21"/>
              </w:rPr>
              <w:t>自制作或获取该信息之日起20个工作日内公开</w:t>
            </w:r>
          </w:p>
        </w:tc>
        <w:tc>
          <w:tcPr>
            <w:tcW w:w="1977" w:type="dxa"/>
            <w:vAlign w:val="center"/>
          </w:tcPr>
          <w:p>
            <w:pPr>
              <w:widowControl/>
              <w:rPr>
                <w:rFonts w:hint="eastAsia" w:ascii="宋体" w:hAnsi="宋体" w:eastAsia="宋体" w:cs="宋体"/>
                <w:sz w:val="21"/>
                <w:szCs w:val="21"/>
              </w:rPr>
            </w:pPr>
            <w:r>
              <w:rPr>
                <w:rFonts w:hint="eastAsia" w:ascii="宋体" w:hAnsi="宋体" w:eastAsia="宋体" w:cs="宋体"/>
                <w:color w:val="333333"/>
                <w:sz w:val="21"/>
                <w:szCs w:val="21"/>
                <w:shd w:val="clear" w:color="auto" w:fill="FFFFFF"/>
              </w:rPr>
              <w:t>☑</w:t>
            </w:r>
            <w:r>
              <w:rPr>
                <w:rFonts w:hint="eastAsia" w:ascii="宋体" w:hAnsi="宋体" w:eastAsia="宋体" w:cs="宋体"/>
                <w:color w:val="000000"/>
                <w:sz w:val="21"/>
                <w:szCs w:val="21"/>
              </w:rPr>
              <w:t xml:space="preserve">政府网站                                                                                                                                                                                                       </w:t>
            </w:r>
          </w:p>
          <w:p>
            <w:pPr>
              <w:widowControl/>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color w:val="000000"/>
                <w:sz w:val="21"/>
                <w:szCs w:val="21"/>
              </w:rPr>
              <w:t>公开查阅点</w:t>
            </w:r>
          </w:p>
          <w:p>
            <w:pPr>
              <w:widowControl/>
              <w:rPr>
                <w:rFonts w:hint="eastAsia" w:ascii="宋体" w:hAnsi="宋体" w:eastAsia="宋体" w:cs="宋体"/>
                <w:sz w:val="21"/>
                <w:szCs w:val="21"/>
              </w:rPr>
            </w:pPr>
            <w:r>
              <w:rPr>
                <w:rFonts w:hint="eastAsia" w:ascii="宋体" w:hAnsi="宋体" w:eastAsia="宋体" w:cs="宋体"/>
                <w:sz w:val="21"/>
                <w:szCs w:val="21"/>
                <w:lang w:eastAsia="zh-CN"/>
              </w:rPr>
              <w:sym w:font="Wingdings 2" w:char="00A3"/>
            </w:r>
            <w:r>
              <w:rPr>
                <w:rFonts w:hint="eastAsia" w:ascii="宋体" w:hAnsi="宋体" w:eastAsia="宋体" w:cs="宋体"/>
                <w:color w:val="000000"/>
                <w:sz w:val="21"/>
                <w:szCs w:val="21"/>
              </w:rPr>
              <w:t xml:space="preserve">政务服务中心 </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公示栏</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发布会</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两微一端</w:t>
            </w:r>
          </w:p>
          <w:p>
            <w:pPr>
              <w:widowControl/>
              <w:rPr>
                <w:rFonts w:hint="eastAsia" w:ascii="宋体" w:hAnsi="宋体" w:eastAsia="宋体" w:cs="宋体"/>
                <w:color w:val="000000"/>
                <w:sz w:val="21"/>
                <w:szCs w:val="21"/>
                <w:u w:val="single"/>
                <w:lang w:val="en-US" w:eastAsia="zh-CN"/>
              </w:rPr>
            </w:pPr>
            <w:r>
              <w:rPr>
                <w:rFonts w:hint="eastAsia" w:ascii="宋体" w:hAnsi="宋体" w:eastAsia="宋体" w:cs="宋体"/>
                <w:color w:val="000000"/>
                <w:sz w:val="21"/>
                <w:szCs w:val="21"/>
              </w:rPr>
              <w:sym w:font="Wingdings 2" w:char="0052"/>
            </w:r>
            <w:r>
              <w:rPr>
                <w:rFonts w:hint="eastAsia" w:ascii="宋体" w:hAnsi="宋体" w:eastAsia="宋体" w:cs="宋体"/>
                <w:color w:val="000000"/>
                <w:sz w:val="21"/>
                <w:szCs w:val="21"/>
              </w:rPr>
              <w:t>其他</w:t>
            </w:r>
            <w:r>
              <w:rPr>
                <w:rFonts w:hint="eastAsia" w:ascii="宋体" w:hAnsi="宋体" w:eastAsia="宋体" w:cs="宋体"/>
                <w:color w:val="000000"/>
                <w:sz w:val="21"/>
                <w:szCs w:val="21"/>
                <w:u w:val="single"/>
                <w:lang w:val="en-US" w:eastAsia="zh-CN"/>
              </w:rPr>
              <w:t>法律服务网</w:t>
            </w:r>
          </w:p>
          <w:p>
            <w:pPr>
              <w:widowControl/>
              <w:rPr>
                <w:rFonts w:hint="eastAsia" w:ascii="宋体" w:hAnsi="宋体" w:eastAsia="宋体" w:cs="宋体"/>
                <w:color w:val="000000"/>
                <w:sz w:val="21"/>
                <w:szCs w:val="21"/>
              </w:rPr>
            </w:pPr>
            <w:r>
              <w:rPr>
                <w:rFonts w:hint="eastAsia" w:ascii="宋体" w:hAnsi="宋体" w:eastAsia="宋体" w:cs="宋体"/>
                <w:color w:val="000000"/>
                <w:sz w:val="21"/>
                <w:szCs w:val="21"/>
                <w:lang w:val="en-US" w:eastAsia="zh-CN"/>
              </w:rPr>
              <w:t>注：有关公开信息可推送或归集至广西法律服务网</w:t>
            </w:r>
            <w:r>
              <w:rPr>
                <w:rFonts w:hint="eastAsia" w:ascii="宋体" w:hAnsi="宋体" w:eastAsia="宋体" w:cs="宋体"/>
                <w:color w:val="000000"/>
                <w:sz w:val="21"/>
                <w:szCs w:val="21"/>
              </w:rPr>
              <w:t xml:space="preserve">    </w:t>
            </w:r>
          </w:p>
        </w:tc>
        <w:tc>
          <w:tcPr>
            <w:tcW w:w="8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7" w:type="dxa"/>
            <w:vAlign w:val="center"/>
          </w:tcPr>
          <w:p>
            <w:pPr>
              <w:widowControl/>
              <w:rPr>
                <w:rFonts w:hint="eastAsia" w:ascii="宋体" w:hAnsi="宋体" w:eastAsia="宋体" w:cs="宋体"/>
                <w:sz w:val="21"/>
                <w:szCs w:val="21"/>
              </w:rPr>
            </w:pPr>
          </w:p>
        </w:tc>
        <w:tc>
          <w:tcPr>
            <w:tcW w:w="600"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941" w:type="dxa"/>
            <w:vAlign w:val="center"/>
          </w:tcPr>
          <w:p>
            <w:pPr>
              <w:widowControl/>
              <w:rPr>
                <w:rFonts w:hint="eastAsia" w:ascii="宋体" w:hAnsi="宋体" w:eastAsia="宋体" w:cs="宋体"/>
                <w:sz w:val="21"/>
                <w:szCs w:val="21"/>
              </w:rPr>
            </w:pPr>
          </w:p>
        </w:tc>
        <w:tc>
          <w:tcPr>
            <w:tcW w:w="532"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c>
          <w:tcPr>
            <w:tcW w:w="774" w:type="dxa"/>
            <w:vAlign w:val="center"/>
          </w:tcPr>
          <w:p>
            <w:pPr>
              <w:widowControl/>
              <w:rPr>
                <w:rFonts w:hint="eastAsia" w:ascii="宋体" w:hAnsi="宋体" w:eastAsia="宋体" w:cs="宋体"/>
                <w:sz w:val="21"/>
                <w:szCs w:val="21"/>
              </w:rPr>
            </w:pPr>
            <w:r>
              <w:rPr>
                <w:rFonts w:hint="eastAsia" w:ascii="宋体" w:hAnsi="宋体" w:eastAsia="宋体" w:cs="宋体"/>
                <w:sz w:val="21"/>
                <w:szCs w:val="21"/>
              </w:rPr>
              <w:t>√</w:t>
            </w:r>
          </w:p>
        </w:tc>
      </w:tr>
    </w:tbl>
    <w:p>
      <w:pPr>
        <w:widowControl/>
        <w:jc w:val="left"/>
        <w:rPr>
          <w:rFonts w:hint="eastAsia" w:ascii="宋体" w:hAnsi="宋体" w:eastAsia="宋体"/>
          <w:b/>
          <w:sz w:val="32"/>
          <w:szCs w:val="32"/>
        </w:rPr>
      </w:pPr>
    </w:p>
    <w:p>
      <w:pPr>
        <w:widowControl/>
        <w:jc w:val="left"/>
        <w:rPr>
          <w:rFonts w:eastAsiaTheme="minorEastAsia"/>
        </w:rPr>
      </w:pPr>
    </w:p>
    <w:sectPr>
      <w:pgSz w:w="16838" w:h="11906" w:orient="landscape"/>
      <w:pgMar w:top="1800" w:right="1440" w:bottom="1800" w:left="1440"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00"/>
    <w:family w:val="auto"/>
    <w:pitch w:val="default"/>
    <w:sig w:usb0="00000000" w:usb1="00000000" w:usb2="00000000" w:usb3="00000000" w:csb0="0000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等线 Light">
    <w:altName w:val="宋体"/>
    <w:panose1 w:val="02010600030101010101"/>
    <w:charset w:val="86"/>
    <w:family w:val="auto"/>
    <w:pitch w:val="default"/>
    <w:sig w:usb0="00000000" w:usb1="00000000" w:usb2="00000016" w:usb3="00000000" w:csb0="0004000F"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Wingdings 2">
    <w:panose1 w:val="05020102010507070707"/>
    <w:charset w:val="00"/>
    <w:family w:val="auto"/>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B48C5"/>
    <w:rsid w:val="00001E38"/>
    <w:rsid w:val="0000335C"/>
    <w:rsid w:val="000130F4"/>
    <w:rsid w:val="00014395"/>
    <w:rsid w:val="0002328D"/>
    <w:rsid w:val="00024251"/>
    <w:rsid w:val="0003067A"/>
    <w:rsid w:val="000330AF"/>
    <w:rsid w:val="00033F22"/>
    <w:rsid w:val="000342E1"/>
    <w:rsid w:val="0003556A"/>
    <w:rsid w:val="00057088"/>
    <w:rsid w:val="000674FB"/>
    <w:rsid w:val="0007041D"/>
    <w:rsid w:val="0007746A"/>
    <w:rsid w:val="00083AFF"/>
    <w:rsid w:val="00085FA8"/>
    <w:rsid w:val="00095196"/>
    <w:rsid w:val="000A00E7"/>
    <w:rsid w:val="000A03E1"/>
    <w:rsid w:val="000A6162"/>
    <w:rsid w:val="000A7A39"/>
    <w:rsid w:val="000D3265"/>
    <w:rsid w:val="000E5639"/>
    <w:rsid w:val="000E5B92"/>
    <w:rsid w:val="000E632D"/>
    <w:rsid w:val="000F1A1B"/>
    <w:rsid w:val="000F59AE"/>
    <w:rsid w:val="001109EA"/>
    <w:rsid w:val="001157B1"/>
    <w:rsid w:val="00134DB9"/>
    <w:rsid w:val="00155FFC"/>
    <w:rsid w:val="001567FD"/>
    <w:rsid w:val="00180BF9"/>
    <w:rsid w:val="00194526"/>
    <w:rsid w:val="001A0F5D"/>
    <w:rsid w:val="001A12D0"/>
    <w:rsid w:val="001A30C9"/>
    <w:rsid w:val="001A4357"/>
    <w:rsid w:val="001B387D"/>
    <w:rsid w:val="001B455C"/>
    <w:rsid w:val="001C1AB8"/>
    <w:rsid w:val="001C239E"/>
    <w:rsid w:val="001C3642"/>
    <w:rsid w:val="001D4825"/>
    <w:rsid w:val="001E5C56"/>
    <w:rsid w:val="001F27B8"/>
    <w:rsid w:val="001F5F7B"/>
    <w:rsid w:val="00200376"/>
    <w:rsid w:val="00207F32"/>
    <w:rsid w:val="00207FE4"/>
    <w:rsid w:val="00213686"/>
    <w:rsid w:val="00214077"/>
    <w:rsid w:val="00225FA5"/>
    <w:rsid w:val="00231FB2"/>
    <w:rsid w:val="00240D9C"/>
    <w:rsid w:val="00241E88"/>
    <w:rsid w:val="002420F7"/>
    <w:rsid w:val="00244644"/>
    <w:rsid w:val="002620E0"/>
    <w:rsid w:val="00272743"/>
    <w:rsid w:val="00272929"/>
    <w:rsid w:val="002963AA"/>
    <w:rsid w:val="00296890"/>
    <w:rsid w:val="002A7259"/>
    <w:rsid w:val="002B2B33"/>
    <w:rsid w:val="002B3404"/>
    <w:rsid w:val="002B48C5"/>
    <w:rsid w:val="002C2C8F"/>
    <w:rsid w:val="002C67B0"/>
    <w:rsid w:val="002C6935"/>
    <w:rsid w:val="002E4273"/>
    <w:rsid w:val="002E791B"/>
    <w:rsid w:val="0031381B"/>
    <w:rsid w:val="003202FA"/>
    <w:rsid w:val="00321F36"/>
    <w:rsid w:val="00325BDD"/>
    <w:rsid w:val="00335FB2"/>
    <w:rsid w:val="00347F2D"/>
    <w:rsid w:val="0036103A"/>
    <w:rsid w:val="003640B3"/>
    <w:rsid w:val="00372BAB"/>
    <w:rsid w:val="00375F80"/>
    <w:rsid w:val="00393D05"/>
    <w:rsid w:val="003953A3"/>
    <w:rsid w:val="003A7D64"/>
    <w:rsid w:val="003C245C"/>
    <w:rsid w:val="003C7F80"/>
    <w:rsid w:val="003E02BE"/>
    <w:rsid w:val="003E6177"/>
    <w:rsid w:val="003F6637"/>
    <w:rsid w:val="004056CF"/>
    <w:rsid w:val="004122D2"/>
    <w:rsid w:val="00415DD9"/>
    <w:rsid w:val="00417220"/>
    <w:rsid w:val="0042369A"/>
    <w:rsid w:val="00423AA4"/>
    <w:rsid w:val="0042444B"/>
    <w:rsid w:val="00427869"/>
    <w:rsid w:val="00431336"/>
    <w:rsid w:val="0044066F"/>
    <w:rsid w:val="004417DB"/>
    <w:rsid w:val="004434C1"/>
    <w:rsid w:val="004438F6"/>
    <w:rsid w:val="0045137F"/>
    <w:rsid w:val="004540AD"/>
    <w:rsid w:val="0046083D"/>
    <w:rsid w:val="00466F71"/>
    <w:rsid w:val="00491C46"/>
    <w:rsid w:val="004925A1"/>
    <w:rsid w:val="004958BA"/>
    <w:rsid w:val="004A1B3F"/>
    <w:rsid w:val="004A2D04"/>
    <w:rsid w:val="004B1AC2"/>
    <w:rsid w:val="004B6546"/>
    <w:rsid w:val="004C0324"/>
    <w:rsid w:val="004C3C0A"/>
    <w:rsid w:val="004E4818"/>
    <w:rsid w:val="004E5B29"/>
    <w:rsid w:val="004F577A"/>
    <w:rsid w:val="004F6D2B"/>
    <w:rsid w:val="0050577A"/>
    <w:rsid w:val="005156E9"/>
    <w:rsid w:val="005243B2"/>
    <w:rsid w:val="00533517"/>
    <w:rsid w:val="00536554"/>
    <w:rsid w:val="00565557"/>
    <w:rsid w:val="0057052F"/>
    <w:rsid w:val="00574B95"/>
    <w:rsid w:val="00582B4A"/>
    <w:rsid w:val="00585986"/>
    <w:rsid w:val="00591220"/>
    <w:rsid w:val="00594801"/>
    <w:rsid w:val="005956BE"/>
    <w:rsid w:val="00596DD6"/>
    <w:rsid w:val="005A7349"/>
    <w:rsid w:val="005C09A7"/>
    <w:rsid w:val="005C3D8F"/>
    <w:rsid w:val="005D7FD0"/>
    <w:rsid w:val="005E2A5C"/>
    <w:rsid w:val="005E2BC4"/>
    <w:rsid w:val="005E4D82"/>
    <w:rsid w:val="005E5200"/>
    <w:rsid w:val="005E5354"/>
    <w:rsid w:val="00601A63"/>
    <w:rsid w:val="0060788A"/>
    <w:rsid w:val="006148E0"/>
    <w:rsid w:val="0062154F"/>
    <w:rsid w:val="00650720"/>
    <w:rsid w:val="00674907"/>
    <w:rsid w:val="00674CE4"/>
    <w:rsid w:val="00676589"/>
    <w:rsid w:val="006817D2"/>
    <w:rsid w:val="00690FAF"/>
    <w:rsid w:val="00693A2C"/>
    <w:rsid w:val="00695B67"/>
    <w:rsid w:val="006A712F"/>
    <w:rsid w:val="006B191B"/>
    <w:rsid w:val="006B45D9"/>
    <w:rsid w:val="006B7871"/>
    <w:rsid w:val="006D4B92"/>
    <w:rsid w:val="006E285C"/>
    <w:rsid w:val="006E330C"/>
    <w:rsid w:val="006F0785"/>
    <w:rsid w:val="00704F0E"/>
    <w:rsid w:val="00710972"/>
    <w:rsid w:val="00710E05"/>
    <w:rsid w:val="00713886"/>
    <w:rsid w:val="00714274"/>
    <w:rsid w:val="007306AE"/>
    <w:rsid w:val="00760694"/>
    <w:rsid w:val="00762D38"/>
    <w:rsid w:val="00771AB5"/>
    <w:rsid w:val="00777D54"/>
    <w:rsid w:val="0078109E"/>
    <w:rsid w:val="00782FEC"/>
    <w:rsid w:val="00793F32"/>
    <w:rsid w:val="00794165"/>
    <w:rsid w:val="007A61FB"/>
    <w:rsid w:val="007A6554"/>
    <w:rsid w:val="007B4471"/>
    <w:rsid w:val="007B5797"/>
    <w:rsid w:val="007C0E82"/>
    <w:rsid w:val="007D3159"/>
    <w:rsid w:val="007D5023"/>
    <w:rsid w:val="007E0A68"/>
    <w:rsid w:val="007E1D91"/>
    <w:rsid w:val="007E1E74"/>
    <w:rsid w:val="007F6E38"/>
    <w:rsid w:val="008172C6"/>
    <w:rsid w:val="00822C94"/>
    <w:rsid w:val="008234EC"/>
    <w:rsid w:val="00826FFC"/>
    <w:rsid w:val="0083083E"/>
    <w:rsid w:val="00834379"/>
    <w:rsid w:val="008473E5"/>
    <w:rsid w:val="00851CE7"/>
    <w:rsid w:val="00853D1B"/>
    <w:rsid w:val="00863AB9"/>
    <w:rsid w:val="00864955"/>
    <w:rsid w:val="0086565A"/>
    <w:rsid w:val="008713BC"/>
    <w:rsid w:val="0088121C"/>
    <w:rsid w:val="00881EB4"/>
    <w:rsid w:val="008A159B"/>
    <w:rsid w:val="008A4744"/>
    <w:rsid w:val="008B52EA"/>
    <w:rsid w:val="008C3D77"/>
    <w:rsid w:val="008D0935"/>
    <w:rsid w:val="008D47AC"/>
    <w:rsid w:val="008E1CDE"/>
    <w:rsid w:val="008E259E"/>
    <w:rsid w:val="008E30A6"/>
    <w:rsid w:val="008F0BD2"/>
    <w:rsid w:val="008F12F9"/>
    <w:rsid w:val="00907F4A"/>
    <w:rsid w:val="009104B4"/>
    <w:rsid w:val="00911A97"/>
    <w:rsid w:val="0091616A"/>
    <w:rsid w:val="00922274"/>
    <w:rsid w:val="009277C9"/>
    <w:rsid w:val="0093689B"/>
    <w:rsid w:val="0095560D"/>
    <w:rsid w:val="00961480"/>
    <w:rsid w:val="0097196A"/>
    <w:rsid w:val="009752E5"/>
    <w:rsid w:val="00975C4B"/>
    <w:rsid w:val="00983655"/>
    <w:rsid w:val="009A2E24"/>
    <w:rsid w:val="009A4850"/>
    <w:rsid w:val="009A79AB"/>
    <w:rsid w:val="009B39C9"/>
    <w:rsid w:val="009C7138"/>
    <w:rsid w:val="009C71DC"/>
    <w:rsid w:val="009D3B38"/>
    <w:rsid w:val="009E66CF"/>
    <w:rsid w:val="009F2927"/>
    <w:rsid w:val="00A003F0"/>
    <w:rsid w:val="00A04EA1"/>
    <w:rsid w:val="00A0578A"/>
    <w:rsid w:val="00A2345F"/>
    <w:rsid w:val="00A23F5C"/>
    <w:rsid w:val="00A2516C"/>
    <w:rsid w:val="00A26C31"/>
    <w:rsid w:val="00A3357E"/>
    <w:rsid w:val="00A337FF"/>
    <w:rsid w:val="00A35D3F"/>
    <w:rsid w:val="00A4753D"/>
    <w:rsid w:val="00A51733"/>
    <w:rsid w:val="00A55093"/>
    <w:rsid w:val="00A809A5"/>
    <w:rsid w:val="00A87A9E"/>
    <w:rsid w:val="00A91267"/>
    <w:rsid w:val="00A93D94"/>
    <w:rsid w:val="00A94743"/>
    <w:rsid w:val="00A96FB8"/>
    <w:rsid w:val="00AA07C9"/>
    <w:rsid w:val="00AA5E73"/>
    <w:rsid w:val="00AB01D4"/>
    <w:rsid w:val="00AB257E"/>
    <w:rsid w:val="00AB37A9"/>
    <w:rsid w:val="00AB4339"/>
    <w:rsid w:val="00AB7DB8"/>
    <w:rsid w:val="00AD16AC"/>
    <w:rsid w:val="00AE3368"/>
    <w:rsid w:val="00AF32F3"/>
    <w:rsid w:val="00AF37EF"/>
    <w:rsid w:val="00AF4CF2"/>
    <w:rsid w:val="00B15DE3"/>
    <w:rsid w:val="00B228AB"/>
    <w:rsid w:val="00B24532"/>
    <w:rsid w:val="00B25AA2"/>
    <w:rsid w:val="00B42A0D"/>
    <w:rsid w:val="00B566F0"/>
    <w:rsid w:val="00B72C51"/>
    <w:rsid w:val="00B82185"/>
    <w:rsid w:val="00B82C1C"/>
    <w:rsid w:val="00B91838"/>
    <w:rsid w:val="00BA05C9"/>
    <w:rsid w:val="00BA1CE9"/>
    <w:rsid w:val="00BA455B"/>
    <w:rsid w:val="00BA6A60"/>
    <w:rsid w:val="00BB1929"/>
    <w:rsid w:val="00BC0D32"/>
    <w:rsid w:val="00BD501B"/>
    <w:rsid w:val="00BE6558"/>
    <w:rsid w:val="00BE7472"/>
    <w:rsid w:val="00BF1772"/>
    <w:rsid w:val="00BF2F55"/>
    <w:rsid w:val="00BF59CB"/>
    <w:rsid w:val="00C0634A"/>
    <w:rsid w:val="00C06704"/>
    <w:rsid w:val="00C266F2"/>
    <w:rsid w:val="00C37DDA"/>
    <w:rsid w:val="00C41646"/>
    <w:rsid w:val="00C416F7"/>
    <w:rsid w:val="00C41EB1"/>
    <w:rsid w:val="00C452D9"/>
    <w:rsid w:val="00C45417"/>
    <w:rsid w:val="00C5541E"/>
    <w:rsid w:val="00C56B43"/>
    <w:rsid w:val="00C60C41"/>
    <w:rsid w:val="00C614FB"/>
    <w:rsid w:val="00C7355D"/>
    <w:rsid w:val="00C7620A"/>
    <w:rsid w:val="00C800BD"/>
    <w:rsid w:val="00C80AFC"/>
    <w:rsid w:val="00C81B48"/>
    <w:rsid w:val="00C829A6"/>
    <w:rsid w:val="00C86B4F"/>
    <w:rsid w:val="00C90127"/>
    <w:rsid w:val="00C95D00"/>
    <w:rsid w:val="00CA45B2"/>
    <w:rsid w:val="00CA56A0"/>
    <w:rsid w:val="00CC55D4"/>
    <w:rsid w:val="00CC73AC"/>
    <w:rsid w:val="00CF66C2"/>
    <w:rsid w:val="00D0439B"/>
    <w:rsid w:val="00D15FF0"/>
    <w:rsid w:val="00D26B51"/>
    <w:rsid w:val="00D33CF8"/>
    <w:rsid w:val="00D40023"/>
    <w:rsid w:val="00D46098"/>
    <w:rsid w:val="00D52416"/>
    <w:rsid w:val="00D5320E"/>
    <w:rsid w:val="00D57D8C"/>
    <w:rsid w:val="00D660D9"/>
    <w:rsid w:val="00D75826"/>
    <w:rsid w:val="00D870E5"/>
    <w:rsid w:val="00D947AE"/>
    <w:rsid w:val="00D95BD9"/>
    <w:rsid w:val="00DB7998"/>
    <w:rsid w:val="00DC49AE"/>
    <w:rsid w:val="00DC58B8"/>
    <w:rsid w:val="00DC6765"/>
    <w:rsid w:val="00DD3728"/>
    <w:rsid w:val="00DD3A22"/>
    <w:rsid w:val="00DD3CD2"/>
    <w:rsid w:val="00DD422C"/>
    <w:rsid w:val="00DE34F9"/>
    <w:rsid w:val="00DE634F"/>
    <w:rsid w:val="00E03112"/>
    <w:rsid w:val="00E05193"/>
    <w:rsid w:val="00E063AE"/>
    <w:rsid w:val="00E118A7"/>
    <w:rsid w:val="00E12780"/>
    <w:rsid w:val="00E206D0"/>
    <w:rsid w:val="00E26E48"/>
    <w:rsid w:val="00E27547"/>
    <w:rsid w:val="00E36F76"/>
    <w:rsid w:val="00E47C85"/>
    <w:rsid w:val="00E550C7"/>
    <w:rsid w:val="00E64D28"/>
    <w:rsid w:val="00E653A6"/>
    <w:rsid w:val="00E66532"/>
    <w:rsid w:val="00E70A6B"/>
    <w:rsid w:val="00E70A73"/>
    <w:rsid w:val="00E8436A"/>
    <w:rsid w:val="00E87ACC"/>
    <w:rsid w:val="00E95F7A"/>
    <w:rsid w:val="00EA527D"/>
    <w:rsid w:val="00EA5784"/>
    <w:rsid w:val="00EB711C"/>
    <w:rsid w:val="00EC1402"/>
    <w:rsid w:val="00EC29B1"/>
    <w:rsid w:val="00EC2FC4"/>
    <w:rsid w:val="00EC3FD5"/>
    <w:rsid w:val="00ED4D7E"/>
    <w:rsid w:val="00EE10E3"/>
    <w:rsid w:val="00EE5B48"/>
    <w:rsid w:val="00EF680A"/>
    <w:rsid w:val="00F147FF"/>
    <w:rsid w:val="00F165C3"/>
    <w:rsid w:val="00F20318"/>
    <w:rsid w:val="00F23D2F"/>
    <w:rsid w:val="00F335FF"/>
    <w:rsid w:val="00F43AEE"/>
    <w:rsid w:val="00F507BA"/>
    <w:rsid w:val="00F55E88"/>
    <w:rsid w:val="00F723B9"/>
    <w:rsid w:val="00F802BE"/>
    <w:rsid w:val="00F82DD1"/>
    <w:rsid w:val="00F87E38"/>
    <w:rsid w:val="00F91F22"/>
    <w:rsid w:val="00F9707C"/>
    <w:rsid w:val="00F9734C"/>
    <w:rsid w:val="00FA1082"/>
    <w:rsid w:val="00FB6B56"/>
    <w:rsid w:val="00FC567E"/>
    <w:rsid w:val="00FC7404"/>
    <w:rsid w:val="00FD1196"/>
    <w:rsid w:val="00FE074A"/>
    <w:rsid w:val="00FE490D"/>
    <w:rsid w:val="00FE5122"/>
    <w:rsid w:val="00FF1410"/>
    <w:rsid w:val="00FF21D8"/>
    <w:rsid w:val="00FF343E"/>
    <w:rsid w:val="0C974DD6"/>
    <w:rsid w:val="0CF63410"/>
    <w:rsid w:val="10A3514C"/>
    <w:rsid w:val="193F2851"/>
    <w:rsid w:val="1EE1570D"/>
    <w:rsid w:val="221609F1"/>
    <w:rsid w:val="23C13CA9"/>
    <w:rsid w:val="2FA0575A"/>
    <w:rsid w:val="306A05E0"/>
    <w:rsid w:val="34C25979"/>
    <w:rsid w:val="3A2B68FB"/>
    <w:rsid w:val="3F0B6C1D"/>
    <w:rsid w:val="40D210E2"/>
    <w:rsid w:val="41F81056"/>
    <w:rsid w:val="428A282C"/>
    <w:rsid w:val="46C64710"/>
    <w:rsid w:val="4E5F0103"/>
    <w:rsid w:val="4EED2D67"/>
    <w:rsid w:val="509A730D"/>
    <w:rsid w:val="53A351F8"/>
    <w:rsid w:val="55FC18B9"/>
    <w:rsid w:val="596D1C77"/>
    <w:rsid w:val="63915A1F"/>
    <w:rsid w:val="65806A0B"/>
    <w:rsid w:val="6D090D1F"/>
    <w:rsid w:val="6FA04BC8"/>
    <w:rsid w:val="74E77240"/>
    <w:rsid w:val="7DED0D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unhideWhenUsed="0" w:uiPriority="9" w:semiHidden="0" w:name="heading 1"/>
    <w:lsdException w:uiPriority="9" w:semiHidden="0" w:name="heading 2"/>
    <w:lsdException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eastAsia="仿宋" w:hAnsiTheme="minorHAnsi" w:cstheme="minorBidi"/>
      <w:kern w:val="2"/>
      <w:sz w:val="32"/>
      <w:szCs w:val="32"/>
      <w:lang w:val="en-US" w:eastAsia="zh-CN" w:bidi="ar-SA"/>
    </w:rPr>
  </w:style>
  <w:style w:type="paragraph" w:styleId="2">
    <w:name w:val="heading 1"/>
    <w:basedOn w:val="1"/>
    <w:next w:val="1"/>
    <w:link w:val="20"/>
    <w:uiPriority w:val="9"/>
    <w:pPr>
      <w:keepNext/>
      <w:keepLines/>
      <w:spacing w:before="340" w:after="330" w:line="578" w:lineRule="auto"/>
      <w:outlineLvl w:val="0"/>
    </w:pPr>
    <w:rPr>
      <w:b/>
      <w:bCs/>
      <w:kern w:val="44"/>
      <w:sz w:val="44"/>
      <w:szCs w:val="44"/>
    </w:rPr>
  </w:style>
  <w:style w:type="paragraph" w:styleId="3">
    <w:name w:val="heading 2"/>
    <w:basedOn w:val="1"/>
    <w:next w:val="1"/>
    <w:link w:val="22"/>
    <w:unhideWhenUsed/>
    <w:uiPriority w:val="9"/>
    <w:pPr>
      <w:keepNext/>
      <w:keepLines/>
      <w:spacing w:before="260" w:after="260" w:line="416" w:lineRule="auto"/>
      <w:outlineLvl w:val="1"/>
    </w:pPr>
    <w:rPr>
      <w:rFonts w:asciiTheme="majorHAnsi" w:hAnsiTheme="majorHAnsi" w:eastAsiaTheme="majorEastAsia" w:cstheme="majorBidi"/>
      <w:b/>
      <w:bCs/>
    </w:rPr>
  </w:style>
  <w:style w:type="paragraph" w:styleId="4">
    <w:name w:val="heading 3"/>
    <w:basedOn w:val="1"/>
    <w:next w:val="1"/>
    <w:link w:val="23"/>
    <w:unhideWhenUsed/>
    <w:uiPriority w:val="9"/>
    <w:pPr>
      <w:keepNext/>
      <w:keepLines/>
      <w:spacing w:before="260" w:after="260" w:line="416" w:lineRule="auto"/>
      <w:outlineLvl w:val="2"/>
    </w:pPr>
    <w:rPr>
      <w:b/>
      <w:bCs/>
    </w:rPr>
  </w:style>
  <w:style w:type="character" w:default="1" w:styleId="12">
    <w:name w:val="Default Paragraph Font"/>
    <w:semiHidden/>
    <w:unhideWhenUsed/>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5">
    <w:name w:val="Date"/>
    <w:basedOn w:val="1"/>
    <w:next w:val="1"/>
    <w:link w:val="18"/>
    <w:semiHidden/>
    <w:unhideWhenUsed/>
    <w:qFormat/>
    <w:uiPriority w:val="99"/>
    <w:pPr>
      <w:ind w:left="100" w:leftChars="2500"/>
    </w:pPr>
  </w:style>
  <w:style w:type="paragraph" w:styleId="6">
    <w:name w:val="footer"/>
    <w:basedOn w:val="1"/>
    <w:link w:val="15"/>
    <w:unhideWhenUsed/>
    <w:uiPriority w:val="99"/>
    <w:pPr>
      <w:tabs>
        <w:tab w:val="center" w:pos="4153"/>
        <w:tab w:val="right" w:pos="8306"/>
      </w:tabs>
      <w:snapToGrid w:val="0"/>
      <w:jc w:val="left"/>
    </w:pPr>
    <w:rPr>
      <w:sz w:val="18"/>
      <w:szCs w:val="18"/>
    </w:rPr>
  </w:style>
  <w:style w:type="paragraph" w:styleId="7">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Subtitle"/>
    <w:basedOn w:val="1"/>
    <w:next w:val="1"/>
    <w:link w:val="21"/>
    <w:qFormat/>
    <w:uiPriority w:val="11"/>
    <w:pPr>
      <w:spacing w:before="240" w:after="60" w:line="312" w:lineRule="auto"/>
      <w:jc w:val="center"/>
      <w:outlineLvl w:val="1"/>
    </w:pPr>
    <w:rPr>
      <w:rFonts w:eastAsia="宋体" w:asciiTheme="majorHAnsi" w:hAnsiTheme="majorHAnsi" w:cstheme="majorBidi"/>
      <w:b/>
      <w:bCs/>
      <w:kern w:val="28"/>
    </w:rPr>
  </w:style>
  <w:style w:type="paragraph" w:styleId="9">
    <w:name w:val="Title"/>
    <w:basedOn w:val="1"/>
    <w:next w:val="1"/>
    <w:link w:val="17"/>
    <w:qFormat/>
    <w:uiPriority w:val="10"/>
    <w:pPr>
      <w:spacing w:before="240" w:after="60"/>
      <w:jc w:val="center"/>
      <w:outlineLvl w:val="0"/>
    </w:pPr>
    <w:rPr>
      <w:rFonts w:eastAsia="方正小标宋简体" w:asciiTheme="majorHAnsi" w:hAnsiTheme="majorHAnsi" w:cstheme="majorBidi"/>
      <w:b/>
      <w:bCs/>
      <w:sz w:val="44"/>
    </w:rPr>
  </w:style>
  <w:style w:type="table" w:styleId="11">
    <w:name w:val="Table Grid"/>
    <w:basedOn w:val="10"/>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Hyperlink"/>
    <w:basedOn w:val="12"/>
    <w:unhideWhenUsed/>
    <w:qFormat/>
    <w:uiPriority w:val="99"/>
    <w:rPr>
      <w:color w:val="0563C1" w:themeColor="hyperlink"/>
      <w:u w:val="single"/>
    </w:rPr>
  </w:style>
  <w:style w:type="character" w:customStyle="1" w:styleId="14">
    <w:name w:val="页眉 Char"/>
    <w:basedOn w:val="12"/>
    <w:link w:val="7"/>
    <w:qFormat/>
    <w:uiPriority w:val="99"/>
    <w:rPr>
      <w:sz w:val="18"/>
      <w:szCs w:val="18"/>
    </w:rPr>
  </w:style>
  <w:style w:type="character" w:customStyle="1" w:styleId="15">
    <w:name w:val="页脚 Char"/>
    <w:basedOn w:val="12"/>
    <w:link w:val="6"/>
    <w:qFormat/>
    <w:uiPriority w:val="99"/>
    <w:rPr>
      <w:sz w:val="18"/>
      <w:szCs w:val="18"/>
    </w:rPr>
  </w:style>
  <w:style w:type="character" w:customStyle="1" w:styleId="16">
    <w:name w:val="未处理的提及1"/>
    <w:basedOn w:val="12"/>
    <w:semiHidden/>
    <w:unhideWhenUsed/>
    <w:uiPriority w:val="99"/>
    <w:rPr>
      <w:color w:val="605E5C"/>
      <w:shd w:val="clear" w:color="auto" w:fill="E1DFDD"/>
    </w:rPr>
  </w:style>
  <w:style w:type="character" w:customStyle="1" w:styleId="17">
    <w:name w:val="标题 Char"/>
    <w:basedOn w:val="12"/>
    <w:link w:val="9"/>
    <w:qFormat/>
    <w:uiPriority w:val="10"/>
    <w:rPr>
      <w:rFonts w:eastAsia="方正小标宋简体" w:asciiTheme="majorHAnsi" w:hAnsiTheme="majorHAnsi" w:cstheme="majorBidi"/>
      <w:b/>
      <w:bCs/>
      <w:sz w:val="44"/>
      <w:szCs w:val="32"/>
    </w:rPr>
  </w:style>
  <w:style w:type="character" w:customStyle="1" w:styleId="18">
    <w:name w:val="日期 Char"/>
    <w:basedOn w:val="12"/>
    <w:link w:val="5"/>
    <w:semiHidden/>
    <w:qFormat/>
    <w:uiPriority w:val="99"/>
    <w:rPr>
      <w:rFonts w:eastAsia="仿宋"/>
      <w:sz w:val="32"/>
    </w:rPr>
  </w:style>
  <w:style w:type="paragraph" w:styleId="19">
    <w:name w:val="No Spacing"/>
    <w:qFormat/>
    <w:uiPriority w:val="1"/>
    <w:pPr>
      <w:widowControl w:val="0"/>
      <w:jc w:val="center"/>
    </w:pPr>
    <w:rPr>
      <w:rFonts w:ascii="仿宋_GB2312" w:eastAsia="楷体_GB2312" w:hAnsiTheme="minorHAnsi" w:cstheme="minorBidi"/>
      <w:kern w:val="2"/>
      <w:sz w:val="32"/>
      <w:szCs w:val="32"/>
      <w:lang w:val="en-US" w:eastAsia="zh-CN" w:bidi="ar-SA"/>
    </w:rPr>
  </w:style>
  <w:style w:type="character" w:customStyle="1" w:styleId="20">
    <w:name w:val="标题 1 Char"/>
    <w:basedOn w:val="12"/>
    <w:link w:val="2"/>
    <w:qFormat/>
    <w:uiPriority w:val="9"/>
    <w:rPr>
      <w:rFonts w:eastAsia="仿宋"/>
      <w:b/>
      <w:bCs/>
      <w:kern w:val="44"/>
      <w:sz w:val="44"/>
      <w:szCs w:val="44"/>
    </w:rPr>
  </w:style>
  <w:style w:type="character" w:customStyle="1" w:styleId="21">
    <w:name w:val="副标题 Char"/>
    <w:basedOn w:val="12"/>
    <w:link w:val="8"/>
    <w:qFormat/>
    <w:uiPriority w:val="11"/>
    <w:rPr>
      <w:rFonts w:eastAsia="宋体" w:asciiTheme="majorHAnsi" w:hAnsiTheme="majorHAnsi" w:cstheme="majorBidi"/>
      <w:b/>
      <w:bCs/>
      <w:kern w:val="28"/>
      <w:sz w:val="32"/>
      <w:szCs w:val="32"/>
    </w:rPr>
  </w:style>
  <w:style w:type="character" w:customStyle="1" w:styleId="22">
    <w:name w:val="标题 2 Char"/>
    <w:basedOn w:val="12"/>
    <w:link w:val="3"/>
    <w:qFormat/>
    <w:uiPriority w:val="9"/>
    <w:rPr>
      <w:rFonts w:asciiTheme="majorHAnsi" w:hAnsiTheme="majorHAnsi" w:eastAsiaTheme="majorEastAsia" w:cstheme="majorBidi"/>
      <w:b/>
      <w:bCs/>
      <w:sz w:val="32"/>
      <w:szCs w:val="32"/>
    </w:rPr>
  </w:style>
  <w:style w:type="character" w:customStyle="1" w:styleId="23">
    <w:name w:val="标题 3 Char"/>
    <w:basedOn w:val="12"/>
    <w:link w:val="4"/>
    <w:qFormat/>
    <w:uiPriority w:val="9"/>
    <w:rPr>
      <w:rFonts w:eastAsia="仿宋"/>
      <w:b/>
      <w:bCs/>
      <w:sz w:val="32"/>
      <w:szCs w:val="32"/>
    </w:rPr>
  </w:style>
  <w:style w:type="character" w:customStyle="1" w:styleId="24">
    <w:name w:val="Unresolved Mention"/>
    <w:basedOn w:val="12"/>
    <w:semiHidden/>
    <w:unhideWhenUsed/>
    <w:qFormat/>
    <w:uiPriority w:val="99"/>
    <w:rPr>
      <w:color w:val="605E5C"/>
      <w:shd w:val="clear" w:color="auto" w:fill="E1DFDD"/>
    </w:rPr>
  </w:style>
  <w:style w:type="paragraph" w:styleId="2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56181A-16CB-4E3E-AAFB-0CFEA52E1653}">
  <ds:schemaRefs/>
</ds:datastoreItem>
</file>

<file path=docProps/app.xml><?xml version="1.0" encoding="utf-8"?>
<Properties xmlns="http://schemas.openxmlformats.org/officeDocument/2006/extended-properties" xmlns:vt="http://schemas.openxmlformats.org/officeDocument/2006/docPropsVTypes">
  <Template>Normal</Template>
  <Pages>14</Pages>
  <Words>952</Words>
  <Characters>5427</Characters>
  <Lines>45</Lines>
  <Paragraphs>12</Paragraphs>
  <TotalTime>6</TotalTime>
  <ScaleCrop>false</ScaleCrop>
  <LinksUpToDate>false</LinksUpToDate>
  <CharactersWithSpaces>6367</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2020-06-17T01:20:00Z</dcterms:created>
  <dc:creator>tanshun</dc:creator>
  <cp:lastModifiedBy>admin</cp:lastModifiedBy>
  <cp:lastPrinted>2020-07-16T01:35:00Z</cp:lastPrinted>
  <dcterms:modified xsi:type="dcterms:W3CDTF">2020-11-12T02:09:32Z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