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方正小标宋_GBK" w:eastAsia="方正小标宋_GBK" w:cs="方正小标宋_GBK"/>
          <w:color w:val="000000"/>
          <w:kern w:val="0"/>
          <w:sz w:val="30"/>
          <w:szCs w:val="30"/>
          <w:lang w:eastAsia="zh-CN"/>
        </w:rPr>
      </w:pPr>
      <w:r>
        <w:rPr>
          <w:rFonts w:hint="eastAsia" w:ascii="方正小标宋_GBK" w:hAnsi="方正小标宋_GBK" w:eastAsia="方正小标宋_GBK" w:cs="方正小标宋_GBK"/>
          <w:color w:val="000000"/>
          <w:kern w:val="0"/>
          <w:sz w:val="30"/>
          <w:szCs w:val="30"/>
          <w:lang w:eastAsia="zh-CN"/>
        </w:rPr>
        <w:t>西林县公共法律服务领域基层政务公开标准目录</w:t>
      </w:r>
    </w:p>
    <w:tbl>
      <w:tblPr>
        <w:tblStyle w:val="3"/>
        <w:tblW w:w="1553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675"/>
        <w:gridCol w:w="1620"/>
        <w:gridCol w:w="1545"/>
        <w:gridCol w:w="1920"/>
        <w:gridCol w:w="1410"/>
        <w:gridCol w:w="1410"/>
        <w:gridCol w:w="2280"/>
        <w:gridCol w:w="765"/>
        <w:gridCol w:w="1363"/>
        <w:gridCol w:w="435"/>
        <w:gridCol w:w="540"/>
        <w:gridCol w:w="510"/>
        <w:gridCol w:w="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295"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54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1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2128"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975"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1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vMerge w:val="continue"/>
            <w:shd w:val="clear" w:color="auto" w:fill="auto"/>
            <w:vAlign w:val="center"/>
          </w:tcPr>
          <w:p>
            <w:pPr>
              <w:widowControl/>
              <w:jc w:val="center"/>
              <w:rPr>
                <w:rFonts w:ascii="Times New Roman" w:hAnsi="Times New Roman"/>
                <w:color w:val="000000"/>
                <w:kern w:val="0"/>
                <w:sz w:val="22"/>
              </w:rPr>
            </w:pPr>
          </w:p>
        </w:tc>
        <w:tc>
          <w:tcPr>
            <w:tcW w:w="6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545" w:type="dxa"/>
            <w:vMerge w:val="continue"/>
            <w:shd w:val="clear" w:color="auto" w:fill="auto"/>
            <w:vAlign w:val="center"/>
          </w:tcPr>
          <w:p>
            <w:pPr>
              <w:widowControl/>
              <w:jc w:val="center"/>
              <w:rPr>
                <w:rFonts w:ascii="黑体" w:hAnsi="宋体" w:eastAsia="黑体" w:cs="宋体"/>
                <w:color w:val="000000"/>
                <w:kern w:val="0"/>
                <w:sz w:val="22"/>
              </w:rPr>
            </w:pPr>
          </w:p>
        </w:tc>
        <w:tc>
          <w:tcPr>
            <w:tcW w:w="1920" w:type="dxa"/>
            <w:vMerge w:val="continue"/>
            <w:shd w:val="clear" w:color="auto" w:fill="auto"/>
            <w:vAlign w:val="center"/>
          </w:tcPr>
          <w:p>
            <w:pPr>
              <w:widowControl/>
              <w:jc w:val="center"/>
              <w:rPr>
                <w:rFonts w:ascii="黑体" w:hAnsi="宋体" w:eastAsia="黑体" w:cs="宋体"/>
                <w:color w:val="000000"/>
                <w:kern w:val="0"/>
                <w:sz w:val="22"/>
              </w:rPr>
            </w:pPr>
          </w:p>
        </w:tc>
        <w:tc>
          <w:tcPr>
            <w:tcW w:w="1410" w:type="dxa"/>
            <w:vMerge w:val="continue"/>
            <w:shd w:val="clear" w:color="auto" w:fill="auto"/>
            <w:vAlign w:val="center"/>
          </w:tcPr>
          <w:p>
            <w:pPr>
              <w:widowControl/>
              <w:jc w:val="center"/>
              <w:rPr>
                <w:rFonts w:ascii="黑体" w:hAnsi="宋体" w:eastAsia="黑体" w:cs="宋体"/>
                <w:color w:val="000000"/>
                <w:kern w:val="0"/>
                <w:sz w:val="22"/>
              </w:rPr>
            </w:pPr>
          </w:p>
        </w:tc>
        <w:tc>
          <w:tcPr>
            <w:tcW w:w="1410" w:type="dxa"/>
            <w:vMerge w:val="continue"/>
            <w:shd w:val="clear" w:color="auto" w:fill="auto"/>
            <w:vAlign w:val="center"/>
          </w:tcPr>
          <w:p>
            <w:pPr>
              <w:widowControl/>
              <w:jc w:val="center"/>
              <w:rPr>
                <w:rFonts w:ascii="黑体" w:hAnsi="宋体" w:eastAsia="黑体" w:cs="宋体"/>
                <w:color w:val="000000"/>
                <w:kern w:val="0"/>
                <w:sz w:val="22"/>
              </w:rPr>
            </w:pPr>
          </w:p>
        </w:tc>
        <w:tc>
          <w:tcPr>
            <w:tcW w:w="2280" w:type="dxa"/>
            <w:vMerge w:val="continue"/>
            <w:shd w:val="clear" w:color="auto" w:fill="auto"/>
            <w:vAlign w:val="center"/>
          </w:tcPr>
          <w:p>
            <w:pPr>
              <w:widowControl/>
              <w:jc w:val="center"/>
              <w:rPr>
                <w:rFonts w:ascii="黑体" w:hAnsi="宋体" w:eastAsia="黑体" w:cs="宋体"/>
                <w:kern w:val="0"/>
                <w:sz w:val="22"/>
              </w:rPr>
            </w:pPr>
          </w:p>
        </w:tc>
        <w:tc>
          <w:tcPr>
            <w:tcW w:w="76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1363"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43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1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1" w:hRule="atLeas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675" w:type="dxa"/>
            <w:vMerge w:val="restart"/>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法制宣传教育</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54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《中共中央、国务院转发&lt;中央宣传部、司法部关于在公民中开展法制宣传教育的第七个五年规划（2016－2020年）&gt;》、各省“七五”普法规划</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■两微一端    ■广播电视  ■纸质媒体    ■入户/现场</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对在法制宣传教育工作中做出显著成绩的单位和个人进行表彰奖励</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6" w:hRule="atLeas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6" w:hRule="atLeast"/>
          <w:jc w:val="right"/>
        </w:trPr>
        <w:tc>
          <w:tcPr>
            <w:tcW w:w="555" w:type="dxa"/>
            <w:shd w:val="clear" w:color="auto" w:fill="auto"/>
            <w:vAlign w:val="center"/>
          </w:tcPr>
          <w:p>
            <w:pPr>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620" w:type="dxa"/>
            <w:shd w:val="clear" w:color="auto" w:fill="auto"/>
            <w:vAlign w:val="center"/>
          </w:tcPr>
          <w:p>
            <w:pPr>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■精准推送</w:t>
            </w:r>
          </w:p>
        </w:tc>
        <w:tc>
          <w:tcPr>
            <w:tcW w:w="765" w:type="dxa"/>
            <w:shd w:val="clear" w:color="auto" w:fill="auto"/>
            <w:vAlign w:val="center"/>
          </w:tcPr>
          <w:p>
            <w:pPr>
              <w:jc w:val="both"/>
              <w:rPr>
                <w:rFonts w:ascii="仿宋_GB2312" w:hAnsi="宋体" w:eastAsia="仿宋_GB2312"/>
                <w:color w:val="000000"/>
                <w:sz w:val="18"/>
                <w:szCs w:val="18"/>
              </w:rPr>
            </w:pPr>
          </w:p>
        </w:tc>
        <w:tc>
          <w:tcPr>
            <w:tcW w:w="1363"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法律援助条例》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765" w:type="dxa"/>
            <w:shd w:val="clear" w:color="auto" w:fill="auto"/>
            <w:vAlign w:val="center"/>
          </w:tcPr>
          <w:p>
            <w:pPr>
              <w:jc w:val="both"/>
              <w:rPr>
                <w:rFonts w:ascii="仿宋_GB2312" w:hAnsi="宋体" w:eastAsia="仿宋_GB2312"/>
                <w:color w:val="000000"/>
                <w:sz w:val="18"/>
                <w:szCs w:val="18"/>
              </w:rPr>
            </w:pPr>
          </w:p>
        </w:tc>
        <w:tc>
          <w:tcPr>
            <w:tcW w:w="1363" w:type="dxa"/>
            <w:shd w:val="clear" w:color="auto" w:fill="auto"/>
            <w:vAlign w:val="center"/>
          </w:tcPr>
          <w:p>
            <w:pPr>
              <w:jc w:val="both"/>
              <w:rPr>
                <w:rFonts w:hint="eastAsia" w:asciiTheme="majorEastAsia" w:hAnsiTheme="majorEastAsia" w:eastAsiaTheme="majorEastAsia" w:cstheme="majorEastAsia"/>
                <w:color w:val="000000"/>
                <w:sz w:val="15"/>
                <w:szCs w:val="15"/>
              </w:rPr>
            </w:pPr>
            <w:r>
              <w:rPr>
                <w:rFonts w:hint="eastAsia" w:ascii="仿宋" w:hAnsi="仿宋" w:eastAsia="仿宋" w:cs="仿宋"/>
                <w:color w:val="000000"/>
                <w:sz w:val="18"/>
                <w:szCs w:val="18"/>
              </w:rPr>
              <w:t>法律援助申请人、受指派的律师事务所或其他组织等</w:t>
            </w: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675" w:type="dxa"/>
            <w:vMerge w:val="restart"/>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法律援助条例》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765" w:type="dxa"/>
            <w:shd w:val="clear" w:color="auto" w:fill="auto"/>
            <w:vAlign w:val="center"/>
          </w:tcPr>
          <w:p>
            <w:pPr>
              <w:jc w:val="both"/>
              <w:rPr>
                <w:rFonts w:ascii="仿宋_GB2312" w:hAnsi="宋体" w:eastAsia="仿宋_GB2312"/>
                <w:color w:val="000000"/>
                <w:sz w:val="18"/>
                <w:szCs w:val="18"/>
              </w:rPr>
            </w:pPr>
          </w:p>
        </w:tc>
        <w:tc>
          <w:tcPr>
            <w:tcW w:w="1363"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35" w:type="dxa"/>
            <w:shd w:val="clear" w:color="auto" w:fill="auto"/>
            <w:vAlign w:val="center"/>
          </w:tcPr>
          <w:p>
            <w:pPr>
              <w:jc w:val="both"/>
              <w:rPr>
                <w:rFonts w:ascii="仿宋_GB2312" w:hAnsi="宋体" w:eastAsia="仿宋_GB2312"/>
                <w:color w:val="000000"/>
                <w:sz w:val="18"/>
                <w:szCs w:val="18"/>
              </w:rPr>
            </w:pPr>
          </w:p>
        </w:tc>
        <w:tc>
          <w:tcPr>
            <w:tcW w:w="54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法律援助条例》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765" w:type="dxa"/>
            <w:shd w:val="clear" w:color="auto" w:fill="auto"/>
            <w:vAlign w:val="center"/>
          </w:tcPr>
          <w:p>
            <w:pPr>
              <w:jc w:val="both"/>
              <w:rPr>
                <w:rFonts w:ascii="仿宋_GB2312" w:hAnsi="宋体" w:eastAsia="仿宋_GB2312"/>
                <w:color w:val="000000"/>
                <w:sz w:val="18"/>
                <w:szCs w:val="18"/>
              </w:rPr>
            </w:pPr>
          </w:p>
        </w:tc>
        <w:tc>
          <w:tcPr>
            <w:tcW w:w="1363"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35" w:type="dxa"/>
            <w:shd w:val="clear" w:color="auto" w:fill="auto"/>
            <w:vAlign w:val="center"/>
          </w:tcPr>
          <w:p>
            <w:pPr>
              <w:jc w:val="both"/>
              <w:rPr>
                <w:rFonts w:ascii="仿宋_GB2312" w:hAnsi="宋体" w:eastAsia="仿宋_GB2312"/>
                <w:color w:val="000000"/>
                <w:sz w:val="18"/>
                <w:szCs w:val="18"/>
              </w:rPr>
            </w:pPr>
          </w:p>
        </w:tc>
        <w:tc>
          <w:tcPr>
            <w:tcW w:w="54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法律援助条例》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法律援助条例》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两微一端</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675" w:type="dxa"/>
            <w:shd w:val="clear" w:color="auto" w:fill="auto"/>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both"/>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《基层法律服务工作者管理办法》</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765" w:type="dxa"/>
            <w:shd w:val="clear" w:color="auto" w:fill="auto"/>
            <w:vAlign w:val="center"/>
          </w:tcPr>
          <w:p>
            <w:pPr>
              <w:jc w:val="both"/>
              <w:rPr>
                <w:rFonts w:ascii="仿宋_GB2312" w:hAnsi="宋体" w:eastAsia="仿宋_GB2312"/>
                <w:color w:val="000000"/>
                <w:sz w:val="18"/>
                <w:szCs w:val="18"/>
              </w:rPr>
            </w:pPr>
          </w:p>
        </w:tc>
        <w:tc>
          <w:tcPr>
            <w:tcW w:w="1363"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9" w:hRule="atLeas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675" w:type="dxa"/>
            <w:vMerge w:val="restart"/>
            <w:shd w:val="clear" w:color="auto" w:fill="auto"/>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both"/>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■纸质媒体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6" w:hRule="atLeas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■两微一端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 ■广播电视   </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eastAsia="zh-CN"/>
              </w:rPr>
              <w:t>广西</w:t>
            </w:r>
            <w:r>
              <w:rPr>
                <w:rFonts w:hint="eastAsia" w:ascii="仿宋_GB2312" w:hAnsi="宋体" w:eastAsia="仿宋_GB2312"/>
                <w:color w:val="000000"/>
                <w:sz w:val="18"/>
                <w:szCs w:val="18"/>
              </w:rPr>
              <w:t>人民调解条例》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675" w:type="dxa"/>
            <w:vMerge w:val="restart"/>
            <w:shd w:val="clear" w:color="auto" w:fill="auto"/>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both"/>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《中共中央、国务院转发&lt;中央宣传部、司法部关于在公民中开展法制宣传</w:t>
            </w:r>
            <w:bookmarkStart w:id="0" w:name="_GoBack"/>
            <w:bookmarkEnd w:id="0"/>
            <w:r>
              <w:rPr>
                <w:rFonts w:hint="eastAsia" w:ascii="仿宋_GB2312" w:hAnsi="宋体" w:eastAsia="仿宋_GB2312"/>
                <w:color w:val="000000"/>
                <w:sz w:val="18"/>
                <w:szCs w:val="18"/>
              </w:rPr>
              <w:t>教育的第七个五年规划（2016－2020年）&gt;》《xx省“七五”普法规划》</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■两微一端</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675" w:type="dxa"/>
            <w:vMerge w:val="continue"/>
            <w:shd w:val="clear" w:color="auto" w:fill="auto"/>
            <w:vAlign w:val="center"/>
          </w:tcPr>
          <w:p>
            <w:pPr>
              <w:jc w:val="both"/>
              <w:rPr>
                <w:rFonts w:ascii="仿宋_GB2312" w:hAnsi="宋体" w:eastAsia="仿宋_GB2312"/>
                <w:color w:val="000000"/>
                <w:sz w:val="18"/>
                <w:szCs w:val="18"/>
              </w:rPr>
            </w:pP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■两微一端    ■公开查阅点</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r>
              <w:rPr>
                <w:rFonts w:ascii="仿宋_GB2312" w:hAnsi="宋体" w:eastAsia="仿宋_GB2312"/>
                <w:color w:val="000000"/>
                <w:sz w:val="18"/>
                <w:szCs w:val="18"/>
              </w:rPr>
              <w:t>■其他法律服务网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675" w:type="dxa"/>
            <w:shd w:val="clear" w:color="auto" w:fill="auto"/>
            <w:vAlign w:val="center"/>
          </w:tcPr>
          <w:p>
            <w:pPr>
              <w:jc w:val="both"/>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both"/>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r>
              <w:rPr>
                <w:rFonts w:hint="eastAsia" w:ascii="仿宋_GB2312" w:hAnsi="宋体" w:eastAsia="仿宋_GB2312"/>
                <w:color w:val="000000"/>
                <w:sz w:val="18"/>
                <w:szCs w:val="18"/>
              </w:rPr>
              <w:t>公共法律服务中心、公共法律服务工作站</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■政府网站■公开查阅点  ■政务服务中心</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p>
            <w:pPr>
              <w:widowControl/>
              <w:jc w:val="both"/>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right"/>
        </w:trPr>
        <w:tc>
          <w:tcPr>
            <w:tcW w:w="555"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67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620" w:type="dxa"/>
            <w:shd w:val="clear" w:color="auto" w:fill="auto"/>
            <w:vAlign w:val="center"/>
          </w:tcPr>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545" w:type="dxa"/>
            <w:shd w:val="clear" w:color="auto" w:fill="auto"/>
            <w:vAlign w:val="center"/>
          </w:tcPr>
          <w:p>
            <w:pPr>
              <w:tabs>
                <w:tab w:val="center" w:pos="4153"/>
                <w:tab w:val="right" w:pos="8306"/>
              </w:tabs>
              <w:snapToGrid w:val="0"/>
              <w:spacing w:line="360" w:lineRule="auto"/>
              <w:jc w:val="both"/>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2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14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lang w:eastAsia="zh-CN"/>
              </w:rPr>
              <w:t>西林县</w:t>
            </w:r>
            <w:r>
              <w:rPr>
                <w:rFonts w:hint="eastAsia" w:ascii="仿宋_GB2312" w:hAnsi="宋体" w:eastAsia="仿宋_GB2312"/>
                <w:color w:val="000000"/>
                <w:sz w:val="18"/>
                <w:szCs w:val="18"/>
              </w:rPr>
              <w:t>司法</w:t>
            </w:r>
            <w:r>
              <w:rPr>
                <w:rFonts w:hint="eastAsia" w:ascii="仿宋_GB2312" w:hAnsi="宋体" w:eastAsia="仿宋_GB2312"/>
                <w:color w:val="000000"/>
                <w:sz w:val="18"/>
                <w:szCs w:val="18"/>
                <w:lang w:eastAsia="zh-CN"/>
              </w:rPr>
              <w:t>局</w:t>
            </w:r>
            <w:r>
              <w:rPr>
                <w:rFonts w:hint="eastAsia" w:ascii="仿宋_GB2312" w:hAnsi="宋体" w:eastAsia="仿宋_GB2312"/>
                <w:color w:val="000000"/>
                <w:sz w:val="18"/>
                <w:szCs w:val="18"/>
              </w:rPr>
              <w:t>、公共法律服务中心、公共法律服务工作站</w:t>
            </w:r>
          </w:p>
        </w:tc>
        <w:tc>
          <w:tcPr>
            <w:tcW w:w="2280" w:type="dxa"/>
            <w:shd w:val="clear" w:color="auto" w:fill="auto"/>
            <w:vAlign w:val="center"/>
          </w:tcPr>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■政府公报    ■两微一端</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■发布会/听证会</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■广播电视</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■公开查阅点</w:t>
            </w:r>
          </w:p>
          <w:p>
            <w:pPr>
              <w:widowControl/>
              <w:jc w:val="both"/>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■便民服务站</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both"/>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76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1363" w:type="dxa"/>
            <w:shd w:val="clear" w:color="auto" w:fill="auto"/>
            <w:vAlign w:val="center"/>
          </w:tcPr>
          <w:p>
            <w:pPr>
              <w:jc w:val="both"/>
              <w:rPr>
                <w:rFonts w:ascii="仿宋_GB2312" w:hAnsi="宋体" w:eastAsia="仿宋_GB2312"/>
                <w:color w:val="000000"/>
                <w:sz w:val="18"/>
                <w:szCs w:val="18"/>
              </w:rPr>
            </w:pPr>
          </w:p>
        </w:tc>
        <w:tc>
          <w:tcPr>
            <w:tcW w:w="435"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shd w:val="clear" w:color="auto" w:fill="auto"/>
            <w:vAlign w:val="center"/>
          </w:tcPr>
          <w:p>
            <w:pPr>
              <w:jc w:val="both"/>
              <w:rPr>
                <w:rFonts w:ascii="仿宋_GB2312" w:hAnsi="宋体" w:eastAsia="仿宋_GB2312"/>
                <w:color w:val="000000"/>
                <w:sz w:val="18"/>
                <w:szCs w:val="18"/>
              </w:rPr>
            </w:pPr>
          </w:p>
        </w:tc>
        <w:tc>
          <w:tcPr>
            <w:tcW w:w="510"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09" w:type="dxa"/>
            <w:shd w:val="clear" w:color="auto" w:fill="auto"/>
            <w:vAlign w:val="center"/>
          </w:tcPr>
          <w:p>
            <w:pPr>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3" w:right="850" w:bottom="1803" w:left="85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YTNiZGNlYjhkNGFjMTVlMTliY2Y1MDlmY2YzNGEifQ=="/>
  </w:docVars>
  <w:rsids>
    <w:rsidRoot w:val="00000000"/>
    <w:rsid w:val="175945CC"/>
    <w:rsid w:val="17615651"/>
    <w:rsid w:val="19420497"/>
    <w:rsid w:val="1BC14418"/>
    <w:rsid w:val="1DFE0675"/>
    <w:rsid w:val="2AA00A93"/>
    <w:rsid w:val="4651214D"/>
    <w:rsid w:val="47911694"/>
    <w:rsid w:val="4930337A"/>
    <w:rsid w:val="4E1579A8"/>
    <w:rsid w:val="5990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2614</Words>
  <Characters>2658</Characters>
  <Lines>0</Lines>
  <Paragraphs>0</Paragraphs>
  <TotalTime>1</TotalTime>
  <ScaleCrop>false</ScaleCrop>
  <LinksUpToDate>false</LinksUpToDate>
  <CharactersWithSpaces>2864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2020-11-05T03:29:00Z</dcterms:created>
  <dc:creator>Administrator</dc:creator>
  <cp:lastModifiedBy>卢映村</cp:lastModifiedBy>
  <dcterms:modified xsi:type="dcterms:W3CDTF">2022-07-12T09:47:00Z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059388365C0B4CE3BB43D9E2E4DD0CBC</vt:lpwstr>
  </property>
</Properties>
</file>