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eastAsia" w:ascii="方正小标宋_GBK" w:hAnsi="方正小标宋_GBK" w:eastAsia="方正小标宋_GBK" w:cs="方正小标宋_GBK"/>
          <w:b w:val="0"/>
          <w:bCs/>
          <w:sz w:val="30"/>
          <w:szCs w:val="30"/>
        </w:rPr>
      </w:pPr>
      <w:bookmarkStart w:id="0" w:name="_Toc19621"/>
      <w:r>
        <w:rPr>
          <w:rFonts w:hint="eastAsia" w:ascii="方正小标宋_GBK" w:hAnsi="方正小标宋_GBK" w:eastAsia="方正小标宋_GBK" w:cs="方正小标宋_GBK"/>
          <w:b w:val="0"/>
          <w:bCs/>
          <w:sz w:val="30"/>
          <w:szCs w:val="30"/>
          <w:lang w:eastAsia="zh-CN"/>
        </w:rPr>
        <w:t>田阳区</w:t>
      </w:r>
      <w:r>
        <w:rPr>
          <w:rFonts w:hint="eastAsia" w:ascii="方正小标宋_GBK" w:hAnsi="方正小标宋_GBK" w:eastAsia="方正小标宋_GBK" w:cs="方正小标宋_GBK"/>
          <w:b w:val="0"/>
          <w:bCs/>
          <w:sz w:val="30"/>
          <w:szCs w:val="30"/>
        </w:rPr>
        <w:t>公共法律服务领域基层政务公开标准目录</w:t>
      </w:r>
      <w:bookmarkEnd w:id="0"/>
    </w:p>
    <w:tbl>
      <w:tblPr>
        <w:tblStyle w:val="3"/>
        <w:tblW w:w="15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450"/>
        <w:gridCol w:w="1444"/>
        <w:gridCol w:w="2140"/>
        <w:gridCol w:w="1183"/>
        <w:gridCol w:w="1117"/>
        <w:gridCol w:w="2283"/>
        <w:gridCol w:w="750"/>
        <w:gridCol w:w="717"/>
        <w:gridCol w:w="600"/>
        <w:gridCol w:w="750"/>
        <w:gridCol w:w="833"/>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序号</w:t>
            </w:r>
          </w:p>
        </w:tc>
        <w:tc>
          <w:tcPr>
            <w:tcW w:w="252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公开事项</w:t>
            </w:r>
          </w:p>
        </w:tc>
        <w:tc>
          <w:tcPr>
            <w:tcW w:w="144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公开内容（要素）</w:t>
            </w:r>
          </w:p>
        </w:tc>
        <w:tc>
          <w:tcPr>
            <w:tcW w:w="21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公开依据</w:t>
            </w:r>
          </w:p>
        </w:tc>
        <w:tc>
          <w:tcPr>
            <w:tcW w:w="11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公开时限</w:t>
            </w:r>
          </w:p>
        </w:tc>
        <w:tc>
          <w:tcPr>
            <w:tcW w:w="111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公开主体</w:t>
            </w:r>
          </w:p>
        </w:tc>
        <w:tc>
          <w:tcPr>
            <w:tcW w:w="228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公开渠道和载体</w:t>
            </w:r>
          </w:p>
        </w:tc>
        <w:tc>
          <w:tcPr>
            <w:tcW w:w="14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公开对象</w:t>
            </w:r>
          </w:p>
        </w:tc>
        <w:tc>
          <w:tcPr>
            <w:tcW w:w="135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公开方式</w:t>
            </w:r>
          </w:p>
        </w:tc>
        <w:tc>
          <w:tcPr>
            <w:tcW w:w="151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cs="黑体"/>
                <w:color w:val="000000"/>
                <w:sz w:val="22"/>
                <w:szCs w:val="22"/>
              </w:rPr>
            </w:pPr>
          </w:p>
        </w:tc>
        <w:tc>
          <w:tcPr>
            <w:tcW w:w="107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一级事项</w:t>
            </w:r>
          </w:p>
        </w:tc>
        <w:tc>
          <w:tcPr>
            <w:tcW w:w="1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二级事项</w:t>
            </w:r>
          </w:p>
        </w:tc>
        <w:tc>
          <w:tcPr>
            <w:tcW w:w="144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cs="黑体"/>
                <w:color w:val="000000"/>
                <w:sz w:val="22"/>
                <w:szCs w:val="22"/>
              </w:rPr>
            </w:pPr>
          </w:p>
        </w:tc>
        <w:tc>
          <w:tcPr>
            <w:tcW w:w="21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cs="黑体"/>
                <w:color w:val="000000"/>
                <w:sz w:val="22"/>
                <w:szCs w:val="22"/>
              </w:rPr>
            </w:pPr>
          </w:p>
        </w:tc>
        <w:tc>
          <w:tcPr>
            <w:tcW w:w="11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cs="黑体"/>
                <w:color w:val="000000"/>
                <w:sz w:val="22"/>
                <w:szCs w:val="22"/>
              </w:rPr>
            </w:pPr>
          </w:p>
        </w:tc>
        <w:tc>
          <w:tcPr>
            <w:tcW w:w="111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cs="黑体"/>
                <w:color w:val="000000"/>
                <w:sz w:val="22"/>
                <w:szCs w:val="22"/>
              </w:rPr>
            </w:pPr>
          </w:p>
        </w:tc>
        <w:tc>
          <w:tcPr>
            <w:tcW w:w="22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cs="黑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全社会</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w:t>
            </w:r>
          </w:p>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群体</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主动</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依申请</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rPr>
              <w:t>县级</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1</w:t>
            </w:r>
          </w:p>
        </w:tc>
        <w:tc>
          <w:tcPr>
            <w:tcW w:w="1075"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法治宣传</w:t>
            </w:r>
          </w:p>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教育</w:t>
            </w: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法律知识普及服务</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法律法规资讯；普法动态资讯；普法讲师团信息等</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《中共中央、国务院转发&lt;中央宣传部、司法部关于在公民中开展法治宣传教育的第七个五年规划（2016－2020年）&gt;》、各省“七五”普法规划</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lang w:eastAsia="zh-CN"/>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■政府网站    ■两微一端     ■广播电视    ■纸质媒体      ■入户/现场     </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■社区/企事业单位/村公示栏（电子屏）</w:t>
            </w:r>
          </w:p>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2</w:t>
            </w:r>
          </w:p>
        </w:tc>
        <w:tc>
          <w:tcPr>
            <w:tcW w:w="107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推广法治文化服务</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辖区内法治文化阵地信息；法治文化作品、产品</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《中共中央、国务院转发&lt;中央宣传部、司法部关于在公民中开展法治宣传教育的第七个五年规划（2016－2020年）&gt;》、各省“七五”普法规划</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■政府网站    ■两微一端     ■广播电视    ■纸质媒体      ■入户/现场     </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■社区/企事业单位/村公示栏（电子屏）</w:t>
            </w:r>
          </w:p>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 w:hRule="atLeast"/>
        </w:trPr>
        <w:tc>
          <w:tcPr>
            <w:tcW w:w="441" w:type="dxa"/>
            <w:tcBorders>
              <w:top w:val="single" w:color="000000" w:sz="4" w:space="0"/>
              <w:left w:val="single" w:color="000000" w:sz="4" w:space="0"/>
              <w:bottom w:val="single" w:color="auto"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3</w:t>
            </w:r>
          </w:p>
        </w:tc>
        <w:tc>
          <w:tcPr>
            <w:tcW w:w="107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auto"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对在法治宣传教育工作中做出显著成绩的单位和个人进行表彰奖励</w:t>
            </w:r>
          </w:p>
        </w:tc>
        <w:tc>
          <w:tcPr>
            <w:tcW w:w="144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评选表彰通知；先进集体和个人申报表（空白表）；拟表彰的先进集体先进个人名单；表彰决定</w:t>
            </w:r>
          </w:p>
        </w:tc>
        <w:tc>
          <w:tcPr>
            <w:tcW w:w="214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《中共中央、国务院转发&lt;中央宣传部、司法部关于在公民中开展法治宣传教育的第七个五年规划（2016－2020年）&gt;》、各省“七五”普法规划</w:t>
            </w:r>
          </w:p>
        </w:tc>
        <w:tc>
          <w:tcPr>
            <w:tcW w:w="118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■政府网站    ■两微一端     ■广播电视    ■纸质媒体      ■入户/现场     </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■社区/企事业单位/村公示栏（电子屏）</w:t>
            </w:r>
          </w:p>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60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8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律师</w:t>
            </w: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对没有取得律师执业证书以律师名义从事法律业务行为的处罚</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行政处罚决定或行政处罚决定书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《中华人民共和国律师法》</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■政府网站    ■两微一端     ■广播电视    ■纸质媒体      ■入户/现场     </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■社区/企事业单位/村公示栏（电子屏）</w:t>
            </w:r>
          </w:p>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8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7" w:hRule="atLeast"/>
        </w:trPr>
        <w:tc>
          <w:tcPr>
            <w:tcW w:w="4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公证</w:t>
            </w: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公证员一般任职执业审核、考核任职执业审核</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审查（考核）意见</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《中华人民共和国公证法》、《公证员执业管理办法》</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■精准推送</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申请人</w:t>
            </w: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8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3" w:hRule="atLeast"/>
        </w:trPr>
        <w:tc>
          <w:tcPr>
            <w:tcW w:w="441" w:type="dxa"/>
            <w:tcBorders>
              <w:top w:val="single" w:color="auto"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w:t>
            </w:r>
          </w:p>
        </w:tc>
        <w:tc>
          <w:tcPr>
            <w:tcW w:w="1450" w:type="dxa"/>
            <w:tcBorders>
              <w:top w:val="single" w:color="auto"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法律援助服务</w:t>
            </w:r>
          </w:p>
        </w:tc>
        <w:tc>
          <w:tcPr>
            <w:tcW w:w="144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给予法律援助决定书；不予法律援助决定书；指派通知书</w:t>
            </w:r>
          </w:p>
        </w:tc>
        <w:tc>
          <w:tcPr>
            <w:tcW w:w="214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《法律援助条例》、《xx省法律援助条例》</w:t>
            </w:r>
          </w:p>
        </w:tc>
        <w:tc>
          <w:tcPr>
            <w:tcW w:w="118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法律援助机构</w:t>
            </w:r>
          </w:p>
        </w:tc>
        <w:tc>
          <w:tcPr>
            <w:tcW w:w="228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■精准推送    </w:t>
            </w:r>
          </w:p>
        </w:tc>
        <w:tc>
          <w:tcPr>
            <w:tcW w:w="75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1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法律援助申请人、受指派的律师事务所或其他组织等</w:t>
            </w:r>
          </w:p>
        </w:tc>
        <w:tc>
          <w:tcPr>
            <w:tcW w:w="60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法律援助办案人员办案补贴的审核发放</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案件补贴审核发放表</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《法律援助条例》、《xx省法律援助条例》</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自收到公开申请之日起20个工作日内公开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法律援助机构</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■精准推送    </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申请人</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对法律援助机构不予援助决定异议的审查</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处理决定书</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《法律援助条例》、《xx省法律援助条例》</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自收到公开申请之日起20个工作日内公开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■精准推送    </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申请人</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对在法律援助工作中作出突出贡献的组织和个人进行表彰奖励</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beforeLines="0" w:afterLines="0" w:line="240" w:lineRule="auto"/>
              <w:textAlignment w:val="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评选表彰通知；先进集体和个人申报表（空白表）；拟表彰的先进集体先进个人名单；表彰决定</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《法律援助条例》、《xx省法律援助条例》</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■政府网站  ■两微一端     ■广播电视  ■纸质媒体           ■社区/企事业单位/村公示栏（电子屏）                        ■其他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行政处罚决定或行政处罚决定书</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《法律援助条例》、《xx省法律援助条例》</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■政府网站      </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■两微一端    </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基层法律</w:t>
            </w:r>
          </w:p>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服务</w:t>
            </w: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基层法律服务工作者执业核准许可</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不予受理通知书</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《基层法律服务工作者管理办法》</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■精准推送    □其他</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申请人</w:t>
            </w: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对基层法律服务所、基层法律服务工作者违法违规行为的处罚</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行政处罚决定或行政处罚决定书</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《基层法律服务所管理办法》、《基层法律服务工作者管理办法》</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■政府网站 ■两微一端        ■纸质媒体 ■其他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对基层法律服务所、基层法律服务工作者进行表彰奖励</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1.评选表彰通知；</w:t>
            </w:r>
          </w:p>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2.先进集体和个人申报表（空白表）；</w:t>
            </w:r>
          </w:p>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3.拟表彰的先进集体先进个人名单；</w:t>
            </w:r>
          </w:p>
          <w:p>
            <w:pPr>
              <w:tabs>
                <w:tab w:val="center" w:pos="4153"/>
                <w:tab w:val="right" w:pos="8306"/>
              </w:tabs>
              <w:snapToGrid w:val="0"/>
              <w:spacing w:beforeLines="0" w:afterLines="0" w:line="360" w:lineRule="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4.表彰决定</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《基层法律服务所管理办法》、《基层法律服务工作者管理办法》</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 xml:space="preserve">■政府网站    ■两微一端  </w:t>
            </w:r>
          </w:p>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■广播电视    ■纸质媒体          ■社区/企事业单位/村公示栏（电子屏）                           ■其他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人民调解</w:t>
            </w:r>
          </w:p>
        </w:tc>
        <w:tc>
          <w:tcPr>
            <w:tcW w:w="145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对有突出贡献的人民调解委员会和人民调解员按照国家规定给予表彰奖励</w:t>
            </w:r>
          </w:p>
        </w:tc>
        <w:tc>
          <w:tcPr>
            <w:tcW w:w="1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beforeLines="0" w:afterLines="0" w:line="240" w:lineRule="auto"/>
              <w:textAlignment w:val="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评选表彰通知；</w:t>
            </w:r>
          </w:p>
          <w:p>
            <w:pPr>
              <w:keepNext w:val="0"/>
              <w:keepLines w:val="0"/>
              <w:pageBreakBefore w:val="0"/>
              <w:widowControl/>
              <w:tabs>
                <w:tab w:val="center" w:pos="4153"/>
                <w:tab w:val="right" w:pos="8306"/>
              </w:tabs>
              <w:kinsoku/>
              <w:wordWrap/>
              <w:overflowPunct/>
              <w:topLinePunct w:val="0"/>
              <w:autoSpaceDE/>
              <w:autoSpaceDN/>
              <w:bidi w:val="0"/>
              <w:adjustRightInd/>
              <w:snapToGrid w:val="0"/>
              <w:spacing w:beforeLines="0" w:afterLines="0" w:line="240" w:lineRule="auto"/>
              <w:textAlignment w:val="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先进集体和个人申报表（空白表）；</w:t>
            </w:r>
          </w:p>
          <w:p>
            <w:pPr>
              <w:keepNext w:val="0"/>
              <w:keepLines w:val="0"/>
              <w:pageBreakBefore w:val="0"/>
              <w:widowControl/>
              <w:tabs>
                <w:tab w:val="center" w:pos="4153"/>
                <w:tab w:val="right" w:pos="8306"/>
              </w:tabs>
              <w:kinsoku/>
              <w:wordWrap/>
              <w:overflowPunct/>
              <w:topLinePunct w:val="0"/>
              <w:autoSpaceDE/>
              <w:autoSpaceDN/>
              <w:bidi w:val="0"/>
              <w:adjustRightInd/>
              <w:snapToGrid w:val="0"/>
              <w:spacing w:beforeLines="0" w:afterLines="0" w:line="240" w:lineRule="auto"/>
              <w:textAlignment w:val="auto"/>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拟表彰的先进集体先进个人名单；表彰决定</w:t>
            </w:r>
          </w:p>
        </w:tc>
        <w:tc>
          <w:tcPr>
            <w:tcW w:w="2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《中华人民共和国人民调解法》、《xx省人民调解条例》</w:t>
            </w:r>
          </w:p>
        </w:tc>
        <w:tc>
          <w:tcPr>
            <w:tcW w:w="11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自制作或获取该信息之日起20个工作日内公开</w:t>
            </w:r>
          </w:p>
        </w:tc>
        <w:tc>
          <w:tcPr>
            <w:tcW w:w="11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lang w:eastAsia="zh-CN"/>
              </w:rPr>
              <w:t>田阳区司法局</w:t>
            </w:r>
            <w:bookmarkStart w:id="1" w:name="_GoBack"/>
            <w:bookmarkEnd w:id="1"/>
          </w:p>
        </w:tc>
        <w:tc>
          <w:tcPr>
            <w:tcW w:w="22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方正仿宋_GB2312" w:hAnsi="方正仿宋_GB2312" w:eastAsia="方正仿宋_GB2312" w:cs="方正仿宋_GB2312"/>
                <w:color w:val="000000"/>
                <w:sz w:val="18"/>
                <w:szCs w:val="18"/>
                <w:u w:val="single"/>
              </w:rPr>
            </w:pPr>
            <w:r>
              <w:rPr>
                <w:rFonts w:hint="eastAsia" w:ascii="方正仿宋_GB2312" w:hAnsi="方正仿宋_GB2312" w:eastAsia="方正仿宋_GB2312" w:cs="方正仿宋_GB2312"/>
                <w:color w:val="000000"/>
                <w:sz w:val="18"/>
                <w:szCs w:val="18"/>
              </w:rPr>
              <w:t>■政府网站    ■两微一端    ■广播电视    ■纸质媒体          ■社区/企事业单位/村公示栏（电子屏）                        ■其他</w:t>
            </w:r>
            <w:r>
              <w:rPr>
                <w:rFonts w:hint="eastAsia" w:ascii="方正仿宋_GB2312" w:hAnsi="方正仿宋_GB2312" w:eastAsia="方正仿宋_GB2312" w:cs="方正仿宋_GB2312"/>
                <w:color w:val="000000"/>
                <w:sz w:val="18"/>
                <w:szCs w:val="18"/>
                <w:u w:val="single"/>
              </w:rPr>
              <w:t>法律服务网</w:t>
            </w:r>
          </w:p>
          <w:p>
            <w:pPr>
              <w:spacing w:beforeLines="0" w:afterLines="0"/>
              <w:jc w:val="left"/>
              <w:textAlignment w:val="center"/>
              <w:rPr>
                <w:rFonts w:hint="eastAsia"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sz w:val="18"/>
                <w:szCs w:val="18"/>
              </w:rPr>
              <w:t>注：有关公开信息可推送或归集至本省级法律服务网。</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c>
          <w:tcPr>
            <w:tcW w:w="8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r>
              <w:rPr>
                <w:rFonts w:hint="eastAsia" w:ascii="方正仿宋_GB2312" w:hAnsi="方正仿宋_GB2312" w:eastAsia="方正仿宋_GB2312" w:cs="方正仿宋_GB2312"/>
                <w:color w:val="000000"/>
                <w:kern w:val="0"/>
                <w:sz w:val="18"/>
                <w:szCs w:val="18"/>
              </w:rPr>
              <w:t>√</w:t>
            </w:r>
          </w:p>
        </w:tc>
        <w:tc>
          <w:tcPr>
            <w:tcW w:w="6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方正仿宋_GB2312" w:hAnsi="方正仿宋_GB2312" w:eastAsia="方正仿宋_GB2312" w:cs="方正仿宋_GB2312"/>
                <w:color w:val="000000"/>
                <w:kern w:val="0"/>
                <w:sz w:val="18"/>
                <w:szCs w:val="18"/>
              </w:rPr>
            </w:pPr>
          </w:p>
        </w:tc>
      </w:tr>
    </w:tbl>
    <w:p>
      <w:pPr>
        <w:rPr>
          <w:rFonts w:hint="eastAsia" w:ascii="方正仿宋_GB2312" w:hAnsi="方正仿宋_GB2312" w:eastAsia="方正仿宋_GB2312" w:cs="方正仿宋_GB2312"/>
          <w:sz w:val="18"/>
          <w:szCs w:val="18"/>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CE5E9B-3292-488E-9F7E-8C74D00C75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00000000" w:usb1="00000000" w:usb2="00000000" w:usb3="00000000" w:csb0="00000000" w:csb1="00000000"/>
    <w:embedRegular r:id="rId2" w:fontKey="{7AEA1D35-1A86-410A-8BEF-0154E21F7CCB}"/>
  </w:font>
  <w:font w:name="方正仿宋_GB2312">
    <w:panose1 w:val="02000000000000000000"/>
    <w:charset w:val="86"/>
    <w:family w:val="auto"/>
    <w:pitch w:val="default"/>
    <w:sig w:usb0="00000000" w:usb1="00000000" w:usb2="00000000" w:usb3="00000000" w:csb0="00000000" w:csb1="00000000"/>
    <w:embedRegular r:id="rId3" w:fontKey="{A365BBC6-A100-4183-A852-7D7CF2EAC92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C14C3"/>
    <w:rsid w:val="02650B6E"/>
    <w:rsid w:val="264B4F0C"/>
    <w:rsid w:val="3F5C14C3"/>
    <w:rsid w:val="50081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lang w:val="en-US" w:eastAsia="zh-CN"/>
    </w:rPr>
  </w:style>
  <w:style w:type="paragraph" w:styleId="2">
    <w:name w:val="heading 1"/>
    <w:basedOn w:val="1"/>
    <w:next w:val="1"/>
    <w:unhideWhenUsed/>
    <w:qFormat/>
    <w:uiPriority w:val="1"/>
    <w:pPr>
      <w:spacing w:before="138" w:beforeLines="0" w:afterLines="0"/>
      <w:ind w:left="2317" w:right="2144"/>
      <w:jc w:val="center"/>
      <w:outlineLvl w:val="0"/>
    </w:pPr>
    <w:rPr>
      <w:rFonts w:hint="eastAsia" w:ascii="方正小标宋简体" w:hAnsi="方正小标宋简体" w:eastAsia="方正小标宋简体"/>
      <w:sz w:val="30"/>
      <w:lang w:val="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2020-11-16T01:12:00Z</dcterms:created>
  <dc:creator>田阳老黄</dc:creator>
  <cp:lastModifiedBy>田阳老黄</cp:lastModifiedBy>
  <dcterms:modified xsi:type="dcterms:W3CDTF">2020-11-23T02:56:02Z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