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附件1</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val="0"/>
          <w:bCs w:val="0"/>
          <w:spacing w:val="-23"/>
          <w:sz w:val="44"/>
          <w:szCs w:val="44"/>
          <w:lang w:val="en-US" w:eastAsia="zh-CN"/>
        </w:rPr>
        <w:t>广西壮族自治区司法厅推选</w:t>
      </w:r>
      <w:r>
        <w:rPr>
          <w:rFonts w:hint="eastAsia" w:ascii="方正小标宋_GBK" w:hAnsi="方正小标宋_GBK" w:eastAsia="方正小标宋_GBK" w:cs="方正小标宋_GBK"/>
          <w:b w:val="0"/>
          <w:bCs w:val="0"/>
          <w:spacing w:val="-23"/>
          <w:sz w:val="44"/>
          <w:szCs w:val="44"/>
          <w:lang w:eastAsia="zh-CN"/>
        </w:rPr>
        <w:t>全国模范人民调解委员会评选表彰基本情况表</w:t>
      </w:r>
    </w:p>
    <w:p>
      <w:pPr>
        <w:pStyle w:val="2"/>
        <w:rPr>
          <w:rFonts w:hint="eastAsia"/>
          <w:lang w:eastAsia="zh-CN"/>
        </w:rPr>
      </w:pPr>
    </w:p>
    <w:tbl>
      <w:tblPr>
        <w:tblStyle w:val="6"/>
        <w:tblW w:w="15285" w:type="dxa"/>
        <w:tblInd w:w="-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15"/>
        <w:gridCol w:w="2320"/>
        <w:gridCol w:w="5998"/>
        <w:gridCol w:w="5107"/>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7" w:hRule="atLeast"/>
          <w:tblHeader/>
        </w:trPr>
        <w:tc>
          <w:tcPr>
            <w:tcW w:w="915" w:type="dxa"/>
            <w:noWrap w:val="0"/>
            <w:vAlign w:val="center"/>
          </w:tcPr>
          <w:p>
            <w:pPr>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序号</w:t>
            </w:r>
          </w:p>
        </w:tc>
        <w:tc>
          <w:tcPr>
            <w:tcW w:w="2320" w:type="dxa"/>
            <w:noWrap w:val="0"/>
            <w:vAlign w:val="center"/>
          </w:tcPr>
          <w:p>
            <w:pPr>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名称</w:t>
            </w:r>
          </w:p>
        </w:tc>
        <w:tc>
          <w:tcPr>
            <w:tcW w:w="5998" w:type="dxa"/>
            <w:noWrap w:val="0"/>
            <w:vAlign w:val="center"/>
          </w:tcPr>
          <w:p>
            <w:pPr>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基本情况</w:t>
            </w:r>
          </w:p>
        </w:tc>
        <w:tc>
          <w:tcPr>
            <w:tcW w:w="5107" w:type="dxa"/>
            <w:noWrap w:val="0"/>
            <w:vAlign w:val="center"/>
          </w:tcPr>
          <w:p>
            <w:pPr>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所获荣誉</w:t>
            </w:r>
          </w:p>
        </w:tc>
        <w:tc>
          <w:tcPr>
            <w:tcW w:w="945" w:type="dxa"/>
            <w:noWrap w:val="0"/>
            <w:vAlign w:val="center"/>
          </w:tcPr>
          <w:p>
            <w:pPr>
              <w:jc w:val="center"/>
              <w:rPr>
                <w:rFonts w:hint="eastAsia" w:ascii="方正黑体_GBK" w:hAnsi="方正黑体_GBK" w:eastAsia="方正黑体_GBK" w:cs="方正黑体_GBK"/>
                <w:b w:val="0"/>
                <w:bCs w:val="0"/>
                <w:sz w:val="32"/>
                <w:szCs w:val="32"/>
                <w:vertAlign w:val="baseline"/>
                <w:lang w:eastAsia="zh-CN"/>
              </w:rPr>
            </w:pPr>
            <w:r>
              <w:rPr>
                <w:rFonts w:hint="eastAsia" w:ascii="方正黑体_GBK" w:hAnsi="方正黑体_GBK" w:eastAsia="方正黑体_GBK" w:cs="方正黑体_GBK"/>
                <w:b w:val="0"/>
                <w:bCs w:val="0"/>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124" w:hRule="atLeast"/>
        </w:trPr>
        <w:tc>
          <w:tcPr>
            <w:tcW w:w="915"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320" w:type="dxa"/>
            <w:noWrap w:val="0"/>
            <w:vAlign w:val="center"/>
          </w:tcPr>
          <w:p>
            <w:pPr>
              <w:jc w:val="both"/>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lang w:val="en" w:eastAsia="zh-CN"/>
              </w:rPr>
              <w:t>南宁</w:t>
            </w:r>
            <w:r>
              <w:rPr>
                <w:rFonts w:hint="eastAsia" w:ascii="仿宋" w:hAnsi="仿宋" w:eastAsia="仿宋" w:cs="仿宋"/>
                <w:b w:val="0"/>
                <w:bCs w:val="0"/>
                <w:color w:val="auto"/>
                <w:sz w:val="24"/>
                <w:szCs w:val="24"/>
                <w:lang w:val="en-US" w:eastAsia="zh-CN"/>
              </w:rPr>
              <w:t>市南宁</w:t>
            </w:r>
            <w:r>
              <w:rPr>
                <w:rFonts w:hint="eastAsia" w:ascii="仿宋" w:hAnsi="仿宋" w:eastAsia="仿宋" w:cs="仿宋"/>
                <w:b w:val="0"/>
                <w:bCs w:val="0"/>
                <w:color w:val="auto"/>
                <w:sz w:val="24"/>
                <w:szCs w:val="24"/>
                <w:lang w:val="en" w:eastAsia="zh-CN"/>
              </w:rPr>
              <w:t>经济技术开发区商会人民调解委员会</w:t>
            </w:r>
          </w:p>
        </w:tc>
        <w:tc>
          <w:tcPr>
            <w:tcW w:w="5998" w:type="dxa"/>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该调解组织成立于2021年，与南宁市江南区法院经开区法庭建立诉调对接机制，与江南区检察院等单位建立对接沟通机制，建立健全矛盾纠纷多元化解机制。成立以来化解涉企纠纷70起，为当事人和企业挽回经济损失8000多万元。商会涉企调解经验被中央宣传部“学习强国”、中华工商时报报道。调解案例入围南宁市市域社会治理现代化试点工作创新案例。</w:t>
            </w:r>
          </w:p>
        </w:tc>
        <w:tc>
          <w:tcPr>
            <w:tcW w:w="5107"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1、自治区工商联、司法厅评为第一批商会人民调解组织规范化建设示范点；2、自治区工商联、自治区司法厅2022年授予全区模范商会人民调解组织称号</w:t>
            </w:r>
          </w:p>
        </w:tc>
        <w:tc>
          <w:tcPr>
            <w:tcW w:w="945" w:type="dxa"/>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98" w:hRule="atLeast"/>
        </w:trPr>
        <w:tc>
          <w:tcPr>
            <w:tcW w:w="915"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320" w:type="dxa"/>
            <w:noWrap w:val="0"/>
            <w:vAlign w:val="center"/>
          </w:tcPr>
          <w:p>
            <w:pPr>
              <w:jc w:val="both"/>
              <w:rPr>
                <w:rFonts w:hint="eastAsia" w:ascii="仿宋" w:hAnsi="仿宋" w:eastAsia="仿宋" w:cs="仿宋"/>
                <w:b w:val="0"/>
                <w:bCs w:val="0"/>
                <w:color w:val="auto"/>
                <w:sz w:val="24"/>
                <w:szCs w:val="24"/>
                <w:lang w:val="en" w:eastAsia="zh-CN"/>
              </w:rPr>
            </w:pPr>
            <w:r>
              <w:rPr>
                <w:rFonts w:hint="eastAsia" w:ascii="仿宋" w:hAnsi="仿宋" w:eastAsia="仿宋" w:cs="仿宋"/>
                <w:sz w:val="24"/>
                <w:szCs w:val="24"/>
                <w:lang w:val="en-US" w:eastAsia="zh-CN"/>
              </w:rPr>
              <w:t>柳州市福建商会人民调解委员会</w:t>
            </w:r>
          </w:p>
        </w:tc>
        <w:tc>
          <w:tcPr>
            <w:tcW w:w="5998" w:type="dxa"/>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lang w:val="en-US" w:eastAsia="zh-CN"/>
              </w:rPr>
              <w:t>柳州市福建商会人民调解组织成立于2020年9月，在柳州市工商联、柳州市司法局指导下，调解组织不断健全加强规范化、专业化建设，着力提高商会人民调解工作水平和服务质量，迄今调解涉企纠纷20余起，涉及金额6500万元。商会政治建设好，制度机制完善，基础保障有力，队伍专业素质强，具有较高的服务水平。</w:t>
            </w:r>
          </w:p>
        </w:tc>
        <w:tc>
          <w:tcPr>
            <w:tcW w:w="5107" w:type="dxa"/>
            <w:noWrap w:val="0"/>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1、自治区工商联、司法厅评为第一批商会人民调解组织规范化建设示范点；2、自治区工商联、自治区司法厅2022年授予全区模范商会人民调解组织称号</w:t>
            </w:r>
          </w:p>
          <w:p>
            <w:pPr>
              <w:pStyle w:val="2"/>
              <w:jc w:val="both"/>
              <w:rPr>
                <w:rFonts w:hint="eastAsia" w:ascii="仿宋" w:hAnsi="仿宋" w:eastAsia="仿宋" w:cs="仿宋"/>
                <w:sz w:val="24"/>
                <w:szCs w:val="24"/>
                <w:lang w:val="en-US" w:eastAsia="zh-CN"/>
              </w:rPr>
            </w:pPr>
          </w:p>
          <w:p>
            <w:pPr>
              <w:pStyle w:val="2"/>
              <w:jc w:val="both"/>
              <w:rPr>
                <w:rFonts w:hint="eastAsia" w:ascii="仿宋" w:hAnsi="仿宋" w:eastAsia="仿宋" w:cs="仿宋"/>
                <w:sz w:val="24"/>
                <w:szCs w:val="24"/>
                <w:lang w:val="en-US" w:eastAsia="zh-CN"/>
              </w:rPr>
            </w:pPr>
          </w:p>
        </w:tc>
        <w:tc>
          <w:tcPr>
            <w:tcW w:w="945" w:type="dxa"/>
            <w:noWrap w:val="0"/>
            <w:vAlign w:val="center"/>
          </w:tcPr>
          <w:p>
            <w:pPr>
              <w:pStyle w:val="2"/>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52" w:hRule="atLeast"/>
        </w:trPr>
        <w:tc>
          <w:tcPr>
            <w:tcW w:w="915" w:type="dxa"/>
            <w:noWrap w:val="0"/>
            <w:vAlign w:val="center"/>
          </w:tcPr>
          <w:p>
            <w:pPr>
              <w:jc w:val="both"/>
              <w:rPr>
                <w:rFonts w:hint="eastAsia" w:ascii="仿宋" w:hAnsi="仿宋" w:eastAsia="仿宋" w:cs="仿宋"/>
                <w:b w:val="0"/>
                <w:bCs w:val="0"/>
                <w:sz w:val="24"/>
                <w:szCs w:val="24"/>
                <w:vertAlign w:val="baseline"/>
                <w:lang w:val="en-US" w:eastAsia="zh-CN"/>
              </w:rPr>
            </w:pPr>
          </w:p>
          <w:p>
            <w:pPr>
              <w:pStyle w:val="2"/>
              <w:jc w:val="both"/>
              <w:rPr>
                <w:rFonts w:hint="eastAsia" w:ascii="仿宋" w:hAnsi="仿宋" w:eastAsia="仿宋" w:cs="仿宋"/>
                <w:b w:val="0"/>
                <w:bCs w:val="0"/>
                <w:sz w:val="24"/>
                <w:szCs w:val="24"/>
                <w:vertAlign w:val="baseline"/>
                <w:lang w:val="en-US" w:eastAsia="zh-CN"/>
              </w:rPr>
            </w:pPr>
          </w:p>
          <w:p>
            <w:pPr>
              <w:pStyle w:val="2"/>
              <w:ind w:firstLine="240" w:firstLineChars="10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p>
            <w:pPr>
              <w:pStyle w:val="2"/>
              <w:jc w:val="both"/>
              <w:rPr>
                <w:rFonts w:hint="eastAsia" w:ascii="仿宋" w:hAnsi="仿宋" w:eastAsia="仿宋" w:cs="仿宋"/>
                <w:b w:val="0"/>
                <w:bCs w:val="0"/>
                <w:sz w:val="24"/>
                <w:szCs w:val="24"/>
                <w:vertAlign w:val="baseline"/>
                <w:lang w:val="en-US" w:eastAsia="zh-CN"/>
              </w:rPr>
            </w:pPr>
          </w:p>
          <w:p>
            <w:pPr>
              <w:pStyle w:val="2"/>
              <w:jc w:val="both"/>
              <w:rPr>
                <w:rFonts w:hint="eastAsia" w:ascii="仿宋" w:hAnsi="仿宋" w:eastAsia="仿宋" w:cs="仿宋"/>
                <w:b w:val="0"/>
                <w:bCs w:val="0"/>
                <w:sz w:val="24"/>
                <w:szCs w:val="24"/>
                <w:vertAlign w:val="baseline"/>
                <w:lang w:val="en-US" w:eastAsia="zh-CN"/>
              </w:rPr>
            </w:pPr>
          </w:p>
        </w:tc>
        <w:tc>
          <w:tcPr>
            <w:tcW w:w="2320" w:type="dxa"/>
            <w:noWrap w:val="0"/>
            <w:vAlign w:val="center"/>
          </w:tcPr>
          <w:p>
            <w:pPr>
              <w:jc w:val="both"/>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rPr>
              <w:t>北海市医患纠纷人民调解委员会</w:t>
            </w:r>
          </w:p>
        </w:tc>
        <w:tc>
          <w:tcPr>
            <w:tcW w:w="5998" w:type="dxa"/>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北海市医患纠纷人民调解委员会成立于2013年。该调解组织工作经验曾在全区医患纠纷人民调解工作现场会作典型介绍。近年来调解案件110件，达成协议46件，指导医疗机构达成和解案件60件，涉案金额382.99万元。有效维护了当事人合法权益。</w:t>
            </w:r>
          </w:p>
        </w:tc>
        <w:tc>
          <w:tcPr>
            <w:tcW w:w="5107" w:type="dxa"/>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1、调解案例在2015年全区人民调解案件评比获得二等奖；2、2017年全区人民调解案件评比获得最高分值。</w:t>
            </w:r>
          </w:p>
        </w:tc>
        <w:tc>
          <w:tcPr>
            <w:tcW w:w="945" w:type="dxa"/>
            <w:noWrap w:val="0"/>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72" w:hRule="atLeast"/>
        </w:trPr>
        <w:tc>
          <w:tcPr>
            <w:tcW w:w="915" w:type="dxa"/>
            <w:noWrap w:val="0"/>
            <w:vAlign w:val="center"/>
          </w:tcPr>
          <w:p>
            <w:pPr>
              <w:jc w:val="center"/>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4</w:t>
            </w:r>
          </w:p>
        </w:tc>
        <w:tc>
          <w:tcPr>
            <w:tcW w:w="2320" w:type="dxa"/>
            <w:noWrap w:val="0"/>
            <w:vAlign w:val="center"/>
          </w:tcPr>
          <w:p>
            <w:pPr>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钟山县钟山镇人民调解委员会</w:t>
            </w:r>
          </w:p>
          <w:p>
            <w:pPr>
              <w:jc w:val="both"/>
              <w:rPr>
                <w:rFonts w:hint="eastAsia" w:ascii="仿宋" w:hAnsi="仿宋" w:eastAsia="仿宋" w:cs="仿宋"/>
                <w:b w:val="0"/>
                <w:bCs w:val="0"/>
                <w:kern w:val="2"/>
                <w:sz w:val="24"/>
                <w:szCs w:val="24"/>
                <w:vertAlign w:val="baseline"/>
                <w:lang w:val="en-US" w:eastAsia="zh-CN" w:bidi="ar-SA"/>
              </w:rPr>
            </w:pPr>
          </w:p>
        </w:tc>
        <w:tc>
          <w:tcPr>
            <w:tcW w:w="5998" w:type="dxa"/>
            <w:noWrap w:val="0"/>
            <w:vAlign w:val="center"/>
          </w:tcPr>
          <w:p>
            <w:pPr>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钟山县钟山镇人民调解委员会成立于2005年，近年来，创新“一站式”矛盾纠纷多元化解，建立访调结合、诉调联动。推广“721”工作机制，指导和参与调解纠纷600多件，约占全县案件总量三分之一，矛盾纠纷化解取得显著成效。</w:t>
            </w:r>
          </w:p>
          <w:p>
            <w:pPr>
              <w:jc w:val="both"/>
              <w:rPr>
                <w:rFonts w:hint="eastAsia" w:ascii="仿宋" w:hAnsi="仿宋" w:eastAsia="仿宋" w:cs="仿宋"/>
                <w:b w:val="0"/>
                <w:bCs w:val="0"/>
                <w:kern w:val="2"/>
                <w:sz w:val="24"/>
                <w:szCs w:val="24"/>
                <w:vertAlign w:val="baseline"/>
                <w:lang w:val="en-US" w:eastAsia="zh-CN" w:bidi="ar-SA"/>
              </w:rPr>
            </w:pPr>
          </w:p>
        </w:tc>
        <w:tc>
          <w:tcPr>
            <w:tcW w:w="5107" w:type="dxa"/>
            <w:noWrap w:val="0"/>
            <w:vAlign w:val="center"/>
          </w:tcPr>
          <w:p>
            <w:pPr>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1、先后两次被自治区司法厅评为全区先进人民调解委员会；2、钟山镇司法所也被司法部评为“全国模范司法所”。</w:t>
            </w:r>
          </w:p>
          <w:p>
            <w:pPr>
              <w:jc w:val="both"/>
              <w:rPr>
                <w:rFonts w:hint="eastAsia" w:ascii="仿宋" w:hAnsi="仿宋" w:eastAsia="仿宋" w:cs="仿宋"/>
                <w:b w:val="0"/>
                <w:bCs w:val="0"/>
                <w:kern w:val="2"/>
                <w:sz w:val="24"/>
                <w:szCs w:val="24"/>
                <w:vertAlign w:val="baseline"/>
                <w:lang w:val="en-US" w:eastAsia="zh-CN" w:bidi="ar-SA"/>
              </w:rPr>
            </w:pPr>
          </w:p>
        </w:tc>
        <w:tc>
          <w:tcPr>
            <w:tcW w:w="945" w:type="dxa"/>
            <w:noWrap w:val="0"/>
            <w:vAlign w:val="center"/>
          </w:tcPr>
          <w:p>
            <w:pPr>
              <w:jc w:val="center"/>
              <w:rPr>
                <w:rFonts w:hint="eastAsia" w:ascii="仿宋" w:hAnsi="仿宋" w:eastAsia="仿宋" w:cs="仿宋"/>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876" w:hRule="atLeast"/>
        </w:trPr>
        <w:tc>
          <w:tcPr>
            <w:tcW w:w="915"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2320" w:type="dxa"/>
            <w:noWrap w:val="0"/>
            <w:vAlign w:val="center"/>
          </w:tcPr>
          <w:p>
            <w:pPr>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防城港市港口区企沙镇人民调解委员会</w:t>
            </w:r>
          </w:p>
        </w:tc>
        <w:tc>
          <w:tcPr>
            <w:tcW w:w="5998" w:type="dxa"/>
            <w:noWrap w:val="0"/>
            <w:vAlign w:val="top"/>
          </w:tcPr>
          <w:p>
            <w:pPr>
              <w:jc w:val="both"/>
              <w:rPr>
                <w:rFonts w:hint="eastAsia" w:ascii="仿宋" w:hAnsi="仿宋" w:eastAsia="仿宋" w:cs="仿宋"/>
                <w:sz w:val="24"/>
                <w:szCs w:val="24"/>
                <w:lang w:val="en-US" w:eastAsia="zh-CN"/>
              </w:rPr>
            </w:pP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调解组织成立于2015年。成立以来以党建工作为抓手，搭建大调解工作格局，构建多元联动化解工作体系，创新推进“法律顾问+调解”、“法律明白人+调解”等模式，取得较好的效果。主动融入经济建设，在重大项目建设、民生领域保障、涉稳纠纷等领域化解大量矛盾纠纷。主动将法治宣传教育工作与人民调解有机结合，通过对调解队伍、争议主体等群体开展普法教育，提高调解质效。</w:t>
            </w:r>
          </w:p>
        </w:tc>
        <w:tc>
          <w:tcPr>
            <w:tcW w:w="5107" w:type="dxa"/>
            <w:noWrap w:val="0"/>
            <w:vAlign w:val="top"/>
          </w:tcPr>
          <w:p>
            <w:pPr>
              <w:jc w:val="both"/>
              <w:rPr>
                <w:rFonts w:hint="eastAsia" w:ascii="仿宋" w:hAnsi="仿宋" w:eastAsia="仿宋" w:cs="仿宋"/>
                <w:sz w:val="24"/>
                <w:szCs w:val="24"/>
                <w:lang w:val="en-US" w:eastAsia="zh-CN"/>
              </w:rPr>
            </w:pPr>
          </w:p>
        </w:tc>
        <w:tc>
          <w:tcPr>
            <w:tcW w:w="945" w:type="dxa"/>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42" w:hRule="atLeast"/>
        </w:trPr>
        <w:tc>
          <w:tcPr>
            <w:tcW w:w="915"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lang w:val="en-US" w:eastAsia="zh-CN"/>
              </w:rPr>
              <w:t>6</w:t>
            </w:r>
          </w:p>
        </w:tc>
        <w:tc>
          <w:tcPr>
            <w:tcW w:w="2320" w:type="dxa"/>
            <w:noWrap w:val="0"/>
            <w:vAlign w:val="center"/>
          </w:tcPr>
          <w:p>
            <w:pPr>
              <w:jc w:val="both"/>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金秀瑶族自治县</w:t>
            </w:r>
            <w:r>
              <w:rPr>
                <w:rFonts w:hint="eastAsia" w:ascii="仿宋" w:hAnsi="仿宋" w:eastAsia="仿宋" w:cs="仿宋"/>
                <w:b w:val="0"/>
                <w:bCs w:val="0"/>
                <w:color w:val="auto"/>
                <w:sz w:val="24"/>
                <w:szCs w:val="24"/>
                <w:lang w:val="en-US" w:eastAsia="zh-CN"/>
              </w:rPr>
              <w:t>头排镇人民调解委员会</w:t>
            </w:r>
          </w:p>
          <w:p>
            <w:pPr>
              <w:jc w:val="both"/>
              <w:rPr>
                <w:rFonts w:hint="eastAsia" w:ascii="仿宋" w:hAnsi="仿宋" w:eastAsia="仿宋" w:cs="仿宋"/>
                <w:b w:val="0"/>
                <w:bCs w:val="0"/>
                <w:sz w:val="24"/>
                <w:szCs w:val="24"/>
                <w:vertAlign w:val="baseline"/>
                <w:lang w:eastAsia="zh-CN"/>
              </w:rPr>
            </w:pPr>
          </w:p>
        </w:tc>
        <w:tc>
          <w:tcPr>
            <w:tcW w:w="5998" w:type="dxa"/>
            <w:noWrap w:val="0"/>
            <w:vAlign w:val="center"/>
          </w:tcPr>
          <w:p>
            <w:pPr>
              <w:jc w:val="both"/>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lang w:eastAsia="zh-CN"/>
              </w:rPr>
              <w:t>金秀瑶族自治县</w:t>
            </w:r>
            <w:r>
              <w:rPr>
                <w:rFonts w:hint="eastAsia" w:ascii="仿宋" w:hAnsi="仿宋" w:eastAsia="仿宋" w:cs="仿宋"/>
                <w:b w:val="0"/>
                <w:bCs w:val="0"/>
                <w:color w:val="auto"/>
                <w:sz w:val="24"/>
                <w:szCs w:val="24"/>
                <w:lang w:val="en-US" w:eastAsia="zh-CN"/>
              </w:rPr>
              <w:t>头排镇人民调解委员会成立于2005年。2018年以来调处各类矛盾纠纷1032起，成功1025起，成功率达到99%，纠纷受理率100%。调委会获得群众赠送锦旗13面。</w:t>
            </w:r>
          </w:p>
        </w:tc>
        <w:tc>
          <w:tcPr>
            <w:tcW w:w="5107" w:type="dxa"/>
            <w:noWrap w:val="0"/>
            <w:vAlign w:val="center"/>
          </w:tcPr>
          <w:p>
            <w:pPr>
              <w:jc w:val="both"/>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color w:val="auto"/>
                <w:sz w:val="24"/>
                <w:szCs w:val="24"/>
                <w:lang w:val="en-US" w:eastAsia="zh-CN"/>
              </w:rPr>
              <w:t>1、2020年8月该调委会立美个人调解工作室获得自治区司法厅命名；2、2022年其调解员韦立美获得自治区高级人民法院颁发金牌调解员称号。</w:t>
            </w:r>
          </w:p>
        </w:tc>
        <w:tc>
          <w:tcPr>
            <w:tcW w:w="945" w:type="dxa"/>
            <w:noWrap w:val="0"/>
            <w:vAlign w:val="center"/>
          </w:tcPr>
          <w:p>
            <w:pPr>
              <w:jc w:val="both"/>
              <w:rPr>
                <w:rFonts w:hint="eastAsia" w:ascii="仿宋" w:hAnsi="仿宋" w:eastAsia="仿宋" w:cs="仿宋"/>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15" w:hRule="atLeast"/>
        </w:trPr>
        <w:tc>
          <w:tcPr>
            <w:tcW w:w="915" w:type="dxa"/>
            <w:noWrap w:val="0"/>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2320" w:type="dxa"/>
            <w:noWrap w:val="0"/>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乐业县新化镇百坭村人民调解委员会</w:t>
            </w:r>
          </w:p>
        </w:tc>
        <w:tc>
          <w:tcPr>
            <w:tcW w:w="5998" w:type="dxa"/>
            <w:noWrap w:val="0"/>
            <w:vAlign w:val="top"/>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乐业县新化镇百坭村人民调解委员会成立于2002年。该组织发扬黄文秀精神，经过调委会努力，该村做到刑事案件和群体性事件零发生，矛盾纠纷发生率逐年下降，其乡村治理经验在央视《焦点访谈》报道。近3年来，调处矛盾纠纷63件，成功率达99%，涉案金额531万元。</w:t>
            </w:r>
          </w:p>
        </w:tc>
        <w:tc>
          <w:tcPr>
            <w:tcW w:w="5107" w:type="dxa"/>
            <w:noWrap w:val="0"/>
            <w:vAlign w:val="top"/>
          </w:tcPr>
          <w:p>
            <w:pPr>
              <w:jc w:val="both"/>
              <w:rPr>
                <w:rFonts w:hint="eastAsia" w:ascii="仿宋" w:hAnsi="仿宋" w:eastAsia="仿宋" w:cs="仿宋"/>
                <w:b w:val="0"/>
                <w:bCs w:val="0"/>
                <w:sz w:val="24"/>
                <w:szCs w:val="24"/>
                <w:vertAlign w:val="baseline"/>
                <w:lang w:val="en-US" w:eastAsia="zh-CN"/>
              </w:rPr>
            </w:pPr>
          </w:p>
        </w:tc>
        <w:tc>
          <w:tcPr>
            <w:tcW w:w="945" w:type="dxa"/>
            <w:noWrap w:val="0"/>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99" w:hRule="atLeast"/>
        </w:trPr>
        <w:tc>
          <w:tcPr>
            <w:tcW w:w="915" w:type="dxa"/>
            <w:noWrap w:val="0"/>
            <w:vAlign w:val="center"/>
          </w:tcPr>
          <w:p>
            <w:pPr>
              <w:jc w:val="center"/>
              <w:rPr>
                <w:rFonts w:hint="eastAsia"/>
                <w:lang w:val="en-US" w:eastAsia="zh-CN"/>
              </w:rPr>
            </w:pPr>
          </w:p>
          <w:p>
            <w:pPr>
              <w:ind w:firstLine="210" w:firstLineChars="100"/>
              <w:jc w:val="both"/>
              <w:rPr>
                <w:rFonts w:hint="eastAsia"/>
                <w:lang w:val="en-US" w:eastAsia="zh-CN"/>
              </w:rPr>
            </w:pPr>
            <w:r>
              <w:rPr>
                <w:rFonts w:hint="eastAsia"/>
                <w:lang w:val="en-US" w:eastAsia="zh-CN"/>
              </w:rPr>
              <w:t>8</w:t>
            </w:r>
          </w:p>
          <w:p>
            <w:pPr>
              <w:pStyle w:val="2"/>
              <w:jc w:val="both"/>
              <w:rPr>
                <w:rFonts w:hint="eastAsia" w:ascii="仿宋" w:hAnsi="仿宋" w:eastAsia="仿宋" w:cs="仿宋"/>
                <w:b w:val="0"/>
                <w:bCs w:val="0"/>
                <w:sz w:val="24"/>
                <w:szCs w:val="24"/>
                <w:vertAlign w:val="baseline"/>
                <w:lang w:val="en-US" w:eastAsia="zh-CN"/>
              </w:rPr>
            </w:pPr>
          </w:p>
        </w:tc>
        <w:tc>
          <w:tcPr>
            <w:tcW w:w="2320" w:type="dxa"/>
            <w:noWrap w:val="0"/>
            <w:vAlign w:val="center"/>
          </w:tcPr>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凭祥市凭祥镇狮子山社区人民调解委员会</w:t>
            </w:r>
          </w:p>
        </w:tc>
        <w:tc>
          <w:tcPr>
            <w:tcW w:w="5998" w:type="dxa"/>
            <w:noWrap w:val="0"/>
            <w:vAlign w:val="center"/>
          </w:tcPr>
          <w:p>
            <w:pPr>
              <w:numPr>
                <w:ilvl w:val="0"/>
                <w:numId w:val="0"/>
              </w:numPr>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凭祥市凭祥镇狮子山社区人民调解委员会</w:t>
            </w:r>
            <w:r>
              <w:rPr>
                <w:rFonts w:hint="eastAsia" w:ascii="仿宋" w:hAnsi="仿宋" w:eastAsia="仿宋" w:cs="仿宋"/>
                <w:sz w:val="24"/>
                <w:szCs w:val="24"/>
                <w:lang w:val="en-US" w:eastAsia="zh-CN"/>
              </w:rPr>
              <w:t>成立于2020年3月。该调解组织强化人民调解队伍建设，完善基层矛盾纠纷预防排查化解网络，最大限度用好“321”矛盾纠纷多元化解工作法，近年来排查化解矛盾纠纷354起，成功化解350起，排查率100%，成功化解率99.1%。</w:t>
            </w:r>
          </w:p>
        </w:tc>
        <w:tc>
          <w:tcPr>
            <w:tcW w:w="5107" w:type="dxa"/>
            <w:noWrap w:val="0"/>
            <w:vAlign w:val="top"/>
          </w:tcPr>
          <w:p>
            <w:pPr>
              <w:pStyle w:val="2"/>
              <w:jc w:val="both"/>
              <w:rPr>
                <w:rFonts w:hint="eastAsia" w:ascii="仿宋" w:hAnsi="仿宋" w:eastAsia="仿宋" w:cs="仿宋"/>
                <w:sz w:val="24"/>
                <w:szCs w:val="24"/>
                <w:lang w:val="en-US" w:eastAsia="zh-CN"/>
              </w:rPr>
            </w:pPr>
          </w:p>
        </w:tc>
        <w:tc>
          <w:tcPr>
            <w:tcW w:w="945" w:type="dxa"/>
            <w:noWrap w:val="0"/>
            <w:vAlign w:val="center"/>
          </w:tcPr>
          <w:p>
            <w:pPr>
              <w:pStyle w:val="2"/>
              <w:jc w:val="center"/>
              <w:rPr>
                <w:rFonts w:hint="eastAsia" w:ascii="仿宋" w:hAnsi="仿宋" w:eastAsia="仿宋" w:cs="仿宋"/>
                <w:sz w:val="24"/>
                <w:szCs w:val="24"/>
                <w:lang w:val="en-US" w:eastAsia="zh-CN"/>
              </w:rPr>
            </w:pPr>
          </w:p>
        </w:tc>
      </w:tr>
    </w:tbl>
    <w:p>
      <w:pPr>
        <w:jc w:val="both"/>
        <w:rPr>
          <w:rFonts w:hint="eastAsia" w:ascii="仿宋" w:hAnsi="仿宋" w:eastAsia="仿宋" w:cs="仿宋"/>
          <w:b w:val="0"/>
          <w:bCs w:val="0"/>
          <w:sz w:val="24"/>
          <w:szCs w:val="24"/>
          <w:lang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2000000000000000000"/>
    <w:charset w:val="86"/>
    <w:family w:val="auto"/>
    <w:pitch w:val="default"/>
    <w:sig w:usb0="00000001" w:usb1="0800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0MTViYmIyZmY0YWVmODRhNjdkM2RiNWQwMTI2YWUifQ=="/>
  </w:docVars>
  <w:rsids>
    <w:rsidRoot w:val="7DDE188A"/>
    <w:rsid w:val="04CE5ACF"/>
    <w:rsid w:val="099C7CD8"/>
    <w:rsid w:val="1932522A"/>
    <w:rsid w:val="1BF000D7"/>
    <w:rsid w:val="1F7F1D87"/>
    <w:rsid w:val="2CE87E80"/>
    <w:rsid w:val="3AFE4698"/>
    <w:rsid w:val="50BFC087"/>
    <w:rsid w:val="660DB4AA"/>
    <w:rsid w:val="66575604"/>
    <w:rsid w:val="6DEFBB08"/>
    <w:rsid w:val="6FFF5944"/>
    <w:rsid w:val="77D37C32"/>
    <w:rsid w:val="7DDE188A"/>
    <w:rsid w:val="7FBBF5F4"/>
    <w:rsid w:val="B1F50D2F"/>
    <w:rsid w:val="BDDDFB46"/>
    <w:rsid w:val="BF9EBCF5"/>
    <w:rsid w:val="BFFF4913"/>
    <w:rsid w:val="DEFF7982"/>
    <w:rsid w:val="F5CEA0F1"/>
    <w:rsid w:val="FBBF3BE4"/>
    <w:rsid w:val="FF7F4867"/>
    <w:rsid w:val="FFF902E1"/>
    <w:rsid w:val="FFFC00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qFormat/>
    <w:uiPriority w:val="0"/>
    <w:pPr>
      <w:spacing w:line="500" w:lineRule="exact"/>
      <w:jc w:val="center"/>
    </w:pPr>
    <w:rPr>
      <w:rFonts w:eastAsia="黑体"/>
      <w:sz w:val="3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3840</Words>
  <Characters>4050</Characters>
  <Lines>0</Lines>
  <Paragraphs>0</Paragraphs>
  <TotalTime>0</TotalTime>
  <ScaleCrop>false</ScaleCrop>
  <LinksUpToDate>false</LinksUpToDate>
  <CharactersWithSpaces>4050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2023-08-13T17:59:00Z</dcterms:created>
  <dc:creator>gxxc</dc:creator>
  <cp:lastModifiedBy> 园长徽</cp:lastModifiedBy>
  <cp:lastPrinted>2023-08-19T08:09:59Z</cp:lastPrinted>
  <dcterms:modified xsi:type="dcterms:W3CDTF">2023-08-22T07:22:50Z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22C01111186048B29FEA1199C2BC9588_13</vt:lpwstr>
  </property>
</Properties>
</file>