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textAlignment w:val="baseline"/>
        <w:rPr>
          <w:rFonts w:ascii="仿宋_GB2312" w:hAnsi="仿宋_GB2312" w:eastAsia="仿宋_GB2312" w:cs="仿宋_GB2312"/>
          <w:sz w:val="32"/>
          <w:szCs w:val="32"/>
        </w:rPr>
      </w:pPr>
      <w:bookmarkStart w:id="0" w:name="_GoBack"/>
      <w:r>
        <w:rPr>
          <w:rFonts w:hint="eastAsia" w:ascii="黑体" w:hAnsi="黑体" w:eastAsia="黑体" w:cs="黑体"/>
          <w:sz w:val="32"/>
          <w:szCs w:val="32"/>
        </w:rPr>
        <w:t>附件3</w:t>
      </w:r>
    </w:p>
    <w:p>
      <w:pPr>
        <w:spacing w:line="560" w:lineRule="exact"/>
        <w:jc w:val="center"/>
        <w:textAlignment w:val="baseline"/>
        <w:rPr>
          <w:rFonts w:ascii="方正小标宋_GBK" w:hAnsi="方正小标宋_GBK" w:eastAsia="方正小标宋_GBK" w:cs="方正小标宋_GBK"/>
          <w:sz w:val="44"/>
          <w:szCs w:val="44"/>
        </w:rPr>
      </w:pPr>
    </w:p>
    <w:p>
      <w:pPr>
        <w:spacing w:line="560" w:lineRule="exact"/>
        <w:jc w:val="center"/>
        <w:textAlignment w:val="baseline"/>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广西改革创新先进个人拟推荐对象名单</w:t>
      </w:r>
    </w:p>
    <w:p>
      <w:pPr>
        <w:spacing w:line="560" w:lineRule="exact"/>
        <w:jc w:val="center"/>
        <w:textAlignment w:val="baseline"/>
        <w:rPr>
          <w:rFonts w:ascii="方正小标宋简体" w:hAnsi="方正小标宋简体" w:eastAsia="方正小标宋简体" w:cs="方正小标宋简体"/>
          <w:sz w:val="32"/>
          <w:szCs w:val="32"/>
        </w:rPr>
      </w:pPr>
      <w:r>
        <w:rPr>
          <w:rFonts w:hint="eastAsia" w:ascii="方正小标宋_GBK" w:hAnsi="方正小标宋_GBK" w:eastAsia="方正小标宋_GBK" w:cs="方正小标宋_GBK"/>
          <w:sz w:val="44"/>
          <w:szCs w:val="44"/>
        </w:rPr>
        <w:t>及简要事迹</w:t>
      </w:r>
    </w:p>
    <w:bookmarkEnd w:id="0"/>
    <w:p>
      <w:pPr>
        <w:spacing w:line="560" w:lineRule="exact"/>
        <w:ind w:firstLine="640" w:firstLineChars="200"/>
        <w:jc w:val="left"/>
        <w:textAlignment w:val="baseline"/>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一、拟推荐对象名单</w:t>
      </w:r>
    </w:p>
    <w:p>
      <w:pPr>
        <w:spacing w:line="560" w:lineRule="exac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1.黎峻林 法治调研处一级主任科员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2.梁  斯 行政复议与应诉处一级主任科员</w:t>
      </w:r>
    </w:p>
    <w:p>
      <w:pPr>
        <w:spacing w:line="560" w:lineRule="exact"/>
        <w:ind w:firstLine="640" w:firstLineChars="200"/>
        <w:jc w:val="left"/>
        <w:textAlignment w:val="baseline"/>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二、黎峻林简要事迹</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自</w:t>
      </w:r>
      <w:r>
        <w:rPr>
          <w:rFonts w:ascii="Times New Roman" w:hAnsi="Times New Roman" w:eastAsia="仿宋_GB2312"/>
          <w:sz w:val="32"/>
          <w:szCs w:val="32"/>
        </w:rPr>
        <w:t>2019</w:t>
      </w:r>
      <w:r>
        <w:rPr>
          <w:rFonts w:ascii="仿宋_GB2312" w:hAnsi="仿宋_GB2312" w:eastAsia="仿宋_GB2312" w:cs="仿宋_GB2312"/>
          <w:sz w:val="32"/>
          <w:szCs w:val="32"/>
        </w:rPr>
        <w:t>年司法厅机构改革以来，该同志具体负责司法行政改革和系统中长期规划编制工作，在厅党委的领导下，积极发挥参谋助手作用，当好改革“设计员”“向导员”“施工员”，推动建立</w:t>
      </w:r>
      <w:r>
        <w:rPr>
          <w:rFonts w:ascii="Times New Roman" w:hAnsi="Times New Roman" w:eastAsia="仿宋_GB2312"/>
          <w:sz w:val="32"/>
          <w:szCs w:val="32"/>
        </w:rPr>
        <w:t>5</w:t>
      </w:r>
      <w:r>
        <w:rPr>
          <w:rFonts w:ascii="仿宋_GB2312" w:hAnsi="仿宋_GB2312" w:eastAsia="仿宋_GB2312" w:cs="仿宋_GB2312"/>
          <w:sz w:val="32"/>
          <w:szCs w:val="32"/>
        </w:rPr>
        <w:t>项改革工作推进机制，科学谋划</w:t>
      </w:r>
      <w:r>
        <w:rPr>
          <w:rFonts w:ascii="Times New Roman" w:hAnsi="Times New Roman" w:eastAsia="仿宋_GB2312"/>
          <w:sz w:val="32"/>
          <w:szCs w:val="32"/>
        </w:rPr>
        <w:t>176</w:t>
      </w:r>
      <w:r>
        <w:rPr>
          <w:rFonts w:ascii="仿宋_GB2312" w:hAnsi="仿宋_GB2312" w:eastAsia="仿宋_GB2312" w:cs="仿宋_GB2312"/>
          <w:sz w:val="32"/>
          <w:szCs w:val="32"/>
        </w:rPr>
        <w:t>项改革任务并督促落实，推动建立改革“项目储备库”，围绕司法行政为民等方面着力攻坚，不断推出行政复议体制改革、公共法律服务等广西改革品牌。勇于攻坚克难，主动当好改革“服务员”“施</w:t>
      </w:r>
      <w:r>
        <w:rPr>
          <w:rFonts w:hint="eastAsia" w:ascii="仿宋_GB2312" w:hAnsi="仿宋_GB2312" w:eastAsia="仿宋_GB2312" w:cs="仿宋_GB2312"/>
          <w:sz w:val="32"/>
          <w:szCs w:val="32"/>
        </w:rPr>
        <w:t>工</w:t>
      </w:r>
      <w:r>
        <w:rPr>
          <w:rFonts w:ascii="仿宋_GB2312" w:hAnsi="仿宋_GB2312" w:eastAsia="仿宋_GB2312" w:cs="仿宋_GB2312"/>
          <w:sz w:val="32"/>
          <w:szCs w:val="32"/>
        </w:rPr>
        <w:t>员”“监督员”，出色完成《广西公共法律服务体系建设“十四五”规划》起草及推动出台工作。推动《关于加快推进公共法律服务体系建设的实施意见》《加强和改进监狱工作的若干措施》等一批改革方案得以自治区党委、政府名义印发，推动改革的做法得到自治区领衔推进领导的肯定。工作任劳任怨，经常性加班加点做好各项工作和撰写相关材料，三年来，共报送各类改革总结汇报材料</w:t>
      </w:r>
      <w:r>
        <w:rPr>
          <w:rFonts w:ascii="Times New Roman" w:hAnsi="Times New Roman" w:eastAsia="仿宋_GB2312"/>
          <w:sz w:val="32"/>
          <w:szCs w:val="32"/>
        </w:rPr>
        <w:t>100</w:t>
      </w:r>
      <w:r>
        <w:rPr>
          <w:rFonts w:ascii="仿宋_GB2312" w:hAnsi="仿宋_GB2312" w:eastAsia="仿宋_GB2312" w:cs="仿宋_GB2312"/>
          <w:sz w:val="32"/>
          <w:szCs w:val="32"/>
        </w:rPr>
        <w:t>多份。有力推动司法行政改革在重点领域和关键环节取得实效。</w:t>
      </w:r>
    </w:p>
    <w:p>
      <w:pPr>
        <w:spacing w:line="560" w:lineRule="exact"/>
        <w:ind w:firstLine="640" w:firstLineChars="200"/>
        <w:jc w:val="left"/>
        <w:textAlignment w:val="baseline"/>
        <w:rPr>
          <w:rFonts w:ascii="方正黑体_GBK" w:hAnsi="方正黑体_GBK" w:eastAsia="方正黑体_GBK" w:cs="方正黑体_GBK"/>
          <w:sz w:val="32"/>
          <w:szCs w:val="32"/>
        </w:rPr>
      </w:pPr>
    </w:p>
    <w:p>
      <w:pPr>
        <w:spacing w:line="560" w:lineRule="exact"/>
        <w:ind w:firstLine="640" w:firstLineChars="200"/>
        <w:jc w:val="left"/>
        <w:textAlignment w:val="baseline"/>
        <w:rPr>
          <w:rFonts w:ascii="方正黑体_GBK" w:hAnsi="方正黑体_GBK" w:eastAsia="方正黑体_GBK" w:cs="方正黑体_GBK"/>
          <w:sz w:val="32"/>
          <w:szCs w:val="32"/>
        </w:rPr>
      </w:pPr>
    </w:p>
    <w:p>
      <w:pPr>
        <w:spacing w:line="560" w:lineRule="exact"/>
        <w:ind w:firstLine="640" w:firstLineChars="200"/>
        <w:jc w:val="left"/>
        <w:textAlignment w:val="baseline"/>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三、梁斯简要事迹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梁斯同志勇于担当的积极心态勤勉尽责地做好每一项工作，大力推进行政复议体制改革，推动了三级政府集中办案、建立行政复议委员会、案件审理办公会、案件评议组三级办案组织、开展行政复议规</w:t>
      </w:r>
      <w:r>
        <w:rPr>
          <w:rFonts w:ascii="仿宋_GB2312" w:hAnsi="仿宋_GB2312" w:eastAsia="仿宋_GB2312" w:cs="仿宋_GB2312"/>
          <w:sz w:val="32"/>
          <w:szCs w:val="32"/>
        </w:rPr>
        <w:t>范化建设试点、出台省一级地方改革实施方案、建立政府任命行政复议员制度等多项改革举措，广西行政复议体制改革领跑全国，为确保行政复议体制改革如期按质完成、提升行政复议案件质效、促进我区经济发展、维护社会和谐稳定作出了积极成效。</w:t>
      </w:r>
      <w:r>
        <w:rPr>
          <w:rFonts w:hint="eastAsia" w:ascii="仿宋_GB2312" w:hAnsi="仿宋_GB2312" w:eastAsia="仿宋_GB2312" w:cs="仿宋_GB2312"/>
          <w:sz w:val="32"/>
          <w:szCs w:val="32"/>
        </w:rPr>
        <w:t>在积极做好行政复议体制改革工作的同时，也认真做好行政复议案件办理、行政应诉主责主业工作，办理行政复议案件</w:t>
      </w:r>
      <w:r>
        <w:rPr>
          <w:rFonts w:ascii="Times New Roman" w:hAnsi="Times New Roman" w:eastAsia="仿宋_GB2312"/>
          <w:sz w:val="32"/>
          <w:szCs w:val="32"/>
        </w:rPr>
        <w:t>132</w:t>
      </w:r>
      <w:r>
        <w:rPr>
          <w:rFonts w:hint="eastAsia" w:ascii="仿宋_GB2312" w:hAnsi="仿宋_GB2312" w:eastAsia="仿宋_GB2312" w:cs="仿宋_GB2312"/>
          <w:sz w:val="32"/>
          <w:szCs w:val="32"/>
        </w:rPr>
        <w:t>件，行政应诉案件一审</w:t>
      </w:r>
      <w:r>
        <w:rPr>
          <w:rFonts w:hint="eastAsia" w:ascii="Times New Roman" w:hAnsi="Times New Roman" w:eastAsia="仿宋_GB2312"/>
          <w:sz w:val="32"/>
          <w:szCs w:val="32"/>
        </w:rPr>
        <w:t>91</w:t>
      </w:r>
      <w:r>
        <w:rPr>
          <w:rFonts w:hint="eastAsia" w:ascii="仿宋_GB2312" w:hAnsi="仿宋_GB2312" w:eastAsia="仿宋_GB2312" w:cs="仿宋_GB2312"/>
          <w:sz w:val="32"/>
          <w:szCs w:val="32"/>
        </w:rPr>
        <w:t>件，二审</w:t>
      </w:r>
      <w:r>
        <w:rPr>
          <w:rFonts w:hint="eastAsia" w:ascii="Times New Roman" w:hAnsi="Times New Roman" w:eastAsia="仿宋_GB2312"/>
          <w:sz w:val="32"/>
          <w:szCs w:val="32"/>
        </w:rPr>
        <w:t>64</w:t>
      </w:r>
      <w:r>
        <w:rPr>
          <w:rFonts w:hint="eastAsia" w:ascii="仿宋_GB2312" w:hAnsi="仿宋_GB2312" w:eastAsia="仿宋_GB2312" w:cs="仿宋_GB2312"/>
          <w:sz w:val="32"/>
          <w:szCs w:val="32"/>
        </w:rPr>
        <w:t>件。积极协调处理政府重大涉诉案件，参与办理的合山百亿路桥经营有限责任公司诉自治区人民政府行政补偿一案，认真研究审核应诉举证和庭审答辩重点，为自治区人民政府赢得二审胜诉，为政府避免经济损失</w:t>
      </w:r>
      <w:r>
        <w:rPr>
          <w:rFonts w:hint="eastAsia" w:ascii="Times New Roman" w:hAnsi="Times New Roman" w:eastAsia="仿宋_GB2312"/>
          <w:sz w:val="32"/>
          <w:szCs w:val="32"/>
        </w:rPr>
        <w:t>9000</w:t>
      </w:r>
      <w:r>
        <w:rPr>
          <w:rFonts w:hint="eastAsia" w:ascii="仿宋_GB2312" w:hAnsi="仿宋_GB2312" w:eastAsia="仿宋_GB2312" w:cs="仿宋_GB2312"/>
          <w:sz w:val="32"/>
          <w:szCs w:val="32"/>
        </w:rPr>
        <w:t>余万元。以较高政治敏感性妥善处理涉疫情行政复议案件，做到案件办理政治效果、法律效果和社会效果相统一。</w:t>
      </w:r>
    </w:p>
    <w:p>
      <w:pPr>
        <w:spacing w:line="560" w:lineRule="exact"/>
        <w:ind w:firstLine="640" w:firstLineChars="200"/>
        <w:jc w:val="left"/>
        <w:textAlignment w:val="baseline"/>
        <w:rPr>
          <w:rFonts w:ascii="仿宋_GB2312" w:hAnsi="仿宋_GB2312" w:eastAsia="仿宋_GB2312" w:cs="仿宋_GB2312"/>
          <w:sz w:val="32"/>
          <w:szCs w:val="32"/>
        </w:rPr>
      </w:pPr>
    </w:p>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方正黑体_GBK">
    <w:altName w:val="汉仪中黑KW"/>
    <w:panose1 w:val="02000000000000000000"/>
    <w:charset w:val="86"/>
    <w:family w:val="auto"/>
    <w:pitch w:val="default"/>
    <w:sig w:usb0="00000000" w:usb1="00000000" w:usb2="00082016" w:usb3="00000000" w:csb0="00040001"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0E5E4B"/>
    <w:rsid w:val="7ADD0154"/>
    <w:rsid w:val="AF0E5E4B"/>
    <w:rsid w:val="BFFE57DA"/>
    <w:rsid w:val="EEEFEE82"/>
    <w:rsid w:val="FB5F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28"/>
    </w:rPr>
  </w:style>
  <w:style w:type="paragraph" w:styleId="3">
    <w:name w:val="heading 2"/>
    <w:basedOn w:val="1"/>
    <w:next w:val="1"/>
    <w:link w:val="7"/>
    <w:semiHidden/>
    <w:unhideWhenUsed/>
    <w:qFormat/>
    <w:uiPriority w:val="0"/>
    <w:pPr>
      <w:keepNext/>
      <w:keepLines/>
      <w:spacing w:before="260" w:beforeLines="0" w:beforeAutospacing="0" w:after="260" w:afterLines="0" w:afterAutospacing="0" w:line="240" w:lineRule="auto"/>
      <w:outlineLvl w:val="1"/>
    </w:pPr>
    <w:rPr>
      <w:rFonts w:ascii="Arial" w:hAnsi="Arial" w:eastAsia="Songti SC"/>
      <w:b/>
      <w:sz w:val="24"/>
    </w:rPr>
  </w:style>
  <w:style w:type="paragraph" w:styleId="4">
    <w:name w:val="heading 3"/>
    <w:basedOn w:val="1"/>
    <w:next w:val="1"/>
    <w:semiHidden/>
    <w:unhideWhenUsed/>
    <w:qFormat/>
    <w:uiPriority w:val="0"/>
    <w:pPr>
      <w:keepNext/>
      <w:keepLines/>
      <w:spacing w:before="260" w:beforeLines="0" w:beforeAutospacing="0" w:after="260" w:afterLines="0" w:afterAutospacing="0" w:line="240" w:lineRule="auto"/>
      <w:outlineLvl w:val="2"/>
    </w:pPr>
    <w:rPr>
      <w:rFonts w:asciiTheme="minorAscii" w:hAnsiTheme="minorAscii"/>
      <w:b/>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2 Char"/>
    <w:link w:val="3"/>
    <w:uiPriority w:val="0"/>
    <w:rPr>
      <w:rFonts w:ascii="Arial" w:hAnsi="Arial" w:eastAsia="Songti SC"/>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2022-12-28T18:25:00Z</dcterms:created>
  <dc:creator>123</dc:creator>
  <cp:lastModifiedBy>123</cp:lastModifiedBy>
  <dcterms:modified xsi:type="dcterms:W3CDTF">2022-12-28T18:26:07Z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0C494EF4C1CE8C8DA919AC63D52422D8</vt:lpwstr>
  </property>
</Properties>
</file>