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黑体_GBK" w:hAnsi="方正黑体_GBK" w:eastAsia="方正黑体_GBK" w:cs="方正黑体_GBK"/>
          <w:sz w:val="32"/>
          <w:szCs w:val="32"/>
          <w:lang w:val="en-US" w:eastAsia="zh-CN"/>
        </w:rPr>
      </w:pPr>
      <w:bookmarkStart w:id="0" w:name="_GoBack"/>
      <w:r>
        <w:rPr>
          <w:rFonts w:hint="eastAsia" w:ascii="方正黑体_GBK" w:hAnsi="方正黑体_GBK" w:eastAsia="方正黑体_GBK" w:cs="方正黑体_GBK"/>
          <w:sz w:val="32"/>
          <w:szCs w:val="32"/>
          <w:lang w:val="en-US" w:eastAsia="zh-CN"/>
        </w:rPr>
        <w:t>附件1</w:t>
      </w:r>
    </w:p>
    <w:p>
      <w:pPr>
        <w:pStyle w:val="2"/>
        <w:ind w:left="0" w:leftChars="0" w:firstLine="0" w:firstLineChars="0"/>
        <w:rPr>
          <w:rFonts w:hint="default" w:ascii="黑体" w:hAnsi="黑体" w:eastAsia="黑体" w:cs="黑体"/>
          <w:sz w:val="32"/>
          <w:szCs w:val="32"/>
          <w:lang w:val="en-US" w:eastAsia="zh-CN"/>
        </w:rPr>
      </w:pPr>
    </w:p>
    <w:p>
      <w:pPr>
        <w:pStyle w:val="2"/>
        <w:ind w:left="0" w:leftChars="0" w:firstLine="0" w:firstLineChars="0"/>
        <w:jc w:val="center"/>
        <w:rPr>
          <w:rFonts w:hint="eastAsia" w:ascii="方正大标宋_GBK" w:hAnsi="方正大标宋_GBK" w:eastAsia="方正大标宋_GBK" w:cs="方正大标宋_GBK"/>
          <w:sz w:val="36"/>
          <w:szCs w:val="36"/>
          <w:lang w:val="en-US" w:eastAsia="zh-CN"/>
        </w:rPr>
      </w:pPr>
      <w:r>
        <w:rPr>
          <w:rFonts w:hint="eastAsia" w:ascii="方正大标宋_GBK" w:hAnsi="方正大标宋_GBK" w:eastAsia="方正大标宋_GBK" w:cs="方正大标宋_GBK"/>
          <w:sz w:val="36"/>
          <w:szCs w:val="36"/>
          <w:lang w:val="en-US" w:eastAsia="zh-CN"/>
        </w:rPr>
        <w:t>决定继续有效的行政规范性文件目录</w:t>
      </w:r>
    </w:p>
    <w:bookmarkEnd w:id="0"/>
    <w:p>
      <w:pPr>
        <w:pStyle w:val="2"/>
        <w:ind w:left="0" w:leftChars="0" w:firstLine="0" w:firstLineChars="0"/>
        <w:jc w:val="cente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（共21件）</w:t>
      </w:r>
    </w:p>
    <w:tbl>
      <w:tblPr>
        <w:tblStyle w:val="5"/>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4853"/>
        <w:gridCol w:w="296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bCs/>
                <w:sz w:val="28"/>
                <w:szCs w:val="28"/>
                <w:vertAlign w:val="baseline"/>
                <w:lang w:val="en-US" w:eastAsia="zh-CN"/>
              </w:rPr>
            </w:pPr>
            <w:r>
              <w:rPr>
                <w:rFonts w:hint="eastAsia" w:ascii="Times New Roman" w:hAnsi="Times New Roman" w:eastAsia="方正仿宋_GBK" w:cs="Times New Roman"/>
                <w:b/>
                <w:bCs/>
                <w:sz w:val="28"/>
                <w:szCs w:val="28"/>
                <w:vertAlign w:val="baseline"/>
                <w:lang w:val="en-US" w:eastAsia="zh-CN"/>
              </w:rPr>
              <w:t>序号</w:t>
            </w:r>
          </w:p>
        </w:tc>
        <w:tc>
          <w:tcPr>
            <w:tcW w:w="485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bCs/>
                <w:sz w:val="28"/>
                <w:szCs w:val="28"/>
                <w:vertAlign w:val="baseline"/>
                <w:lang w:val="en-US" w:eastAsia="zh-CN"/>
              </w:rPr>
            </w:pPr>
            <w:r>
              <w:rPr>
                <w:rFonts w:hint="default" w:ascii="Times New Roman" w:hAnsi="Times New Roman" w:eastAsia="方正仿宋_GBK" w:cs="Times New Roman"/>
                <w:b/>
                <w:bCs/>
                <w:sz w:val="28"/>
                <w:szCs w:val="28"/>
                <w:vertAlign w:val="baseline"/>
                <w:lang w:val="en-US" w:eastAsia="zh-CN"/>
              </w:rPr>
              <w:t>文件名称</w:t>
            </w:r>
          </w:p>
        </w:tc>
        <w:tc>
          <w:tcPr>
            <w:tcW w:w="29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bCs/>
                <w:sz w:val="28"/>
                <w:szCs w:val="28"/>
                <w:vertAlign w:val="baseline"/>
                <w:lang w:val="en-US" w:eastAsia="zh-CN"/>
              </w:rPr>
            </w:pPr>
            <w:r>
              <w:rPr>
                <w:rFonts w:hint="default" w:ascii="Times New Roman" w:hAnsi="Times New Roman" w:eastAsia="方正仿宋_GBK" w:cs="Times New Roman"/>
                <w:b/>
                <w:bCs/>
                <w:sz w:val="28"/>
                <w:szCs w:val="28"/>
                <w:vertAlign w:val="baseline"/>
                <w:lang w:val="en-US" w:eastAsia="zh-CN"/>
              </w:rPr>
              <w:t>文件号</w:t>
            </w:r>
          </w:p>
        </w:tc>
        <w:tc>
          <w:tcPr>
            <w:tcW w:w="107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bCs/>
                <w:sz w:val="28"/>
                <w:szCs w:val="28"/>
                <w:vertAlign w:val="baseline"/>
                <w:lang w:val="en-US" w:eastAsia="zh-CN"/>
              </w:rPr>
            </w:pPr>
            <w:r>
              <w:rPr>
                <w:rFonts w:hint="default" w:ascii="Times New Roman" w:hAnsi="Times New Roman" w:eastAsia="方正仿宋_GBK" w:cs="Times New Roman"/>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（广西壮族自治区司法厅）关于统一规范律师事务所公示内容的通知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桂司通〔2004〕152号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2</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自治区司法厅</w:t>
            </w:r>
            <w:r>
              <w:rPr>
                <w:rFonts w:hint="eastAsia" w:ascii="Times New Roman" w:hAnsi="Times New Roman" w:eastAsia="方正仿宋_GBK" w:cs="Times New Roman"/>
                <w:i w:val="0"/>
                <w:color w:val="000000"/>
                <w:kern w:val="0"/>
                <w:sz w:val="28"/>
                <w:szCs w:val="28"/>
                <w:u w:val="none"/>
                <w:lang w:val="en-US" w:eastAsia="zh-CN" w:bidi="ar"/>
              </w:rPr>
              <w:t xml:space="preserve"> </w:t>
            </w:r>
            <w:r>
              <w:rPr>
                <w:rFonts w:hint="default" w:ascii="Times New Roman" w:hAnsi="Times New Roman" w:eastAsia="方正仿宋_GBK" w:cs="Times New Roman"/>
                <w:i w:val="0"/>
                <w:color w:val="000000"/>
                <w:kern w:val="0"/>
                <w:sz w:val="28"/>
                <w:szCs w:val="28"/>
                <w:u w:val="none"/>
                <w:lang w:val="en-US" w:eastAsia="zh-CN" w:bidi="ar"/>
              </w:rPr>
              <w:t>自治区信访局关于组织我区律师参与涉法信访工作的意见</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桂司通〔2005〕190号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3</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自治区司法厅关于加强律师参与维护社会稳定工作的意见</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桂司通〔2007〕114号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4</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（广西壮族自治区司法厅）关于印发《广西壮族自治区律师事务所年度检查考核实施细则》的通知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桂司通〔2012〕27号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5</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color w:val="000000"/>
                <w:kern w:val="2"/>
                <w:sz w:val="28"/>
                <w:szCs w:val="28"/>
                <w:u w:val="none"/>
                <w:lang w:val="en-US" w:eastAsia="zh-CN" w:bidi="ar-SA"/>
              </w:rPr>
            </w:pPr>
            <w:r>
              <w:rPr>
                <w:rFonts w:hint="eastAsia" w:ascii="Times New Roman" w:hAnsi="Times New Roman" w:eastAsia="方正仿宋_GBK" w:cs="Times New Roman"/>
                <w:i w:val="0"/>
                <w:color w:val="000000"/>
                <w:kern w:val="0"/>
                <w:sz w:val="28"/>
                <w:szCs w:val="28"/>
                <w:u w:val="none"/>
                <w:lang w:val="en-US" w:eastAsia="zh-CN" w:bidi="ar"/>
              </w:rPr>
              <w:t>（广西壮族自治区司法厅）关于印发《广西壮族自治区司法鉴定援助暂行办法》的通知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桂司通〔2012〕241号</w:t>
            </w:r>
          </w:p>
        </w:tc>
        <w:tc>
          <w:tcPr>
            <w:tcW w:w="107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6</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（广西壮族自治区司法厅）关于印发《广西壮族自治区司法鉴定人助理管理办法（试行）的通知》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桂司通〔2015〕12</w:t>
            </w:r>
            <w:r>
              <w:rPr>
                <w:rFonts w:hint="eastAsia" w:ascii="Times New Roman" w:hAnsi="Times New Roman" w:eastAsia="方正仿宋_GBK" w:cs="Times New Roman"/>
                <w:i w:val="0"/>
                <w:color w:val="000000"/>
                <w:kern w:val="0"/>
                <w:sz w:val="28"/>
                <w:szCs w:val="28"/>
                <w:u w:val="none"/>
                <w:lang w:val="en-US" w:eastAsia="zh-CN" w:bidi="ar"/>
              </w:rPr>
              <w:t>9</w:t>
            </w:r>
            <w:r>
              <w:rPr>
                <w:rFonts w:hint="default" w:ascii="Times New Roman" w:hAnsi="Times New Roman" w:eastAsia="方正仿宋_GBK" w:cs="Times New Roman"/>
                <w:i w:val="0"/>
                <w:color w:val="000000"/>
                <w:kern w:val="0"/>
                <w:sz w:val="28"/>
                <w:szCs w:val="28"/>
                <w:u w:val="none"/>
                <w:lang w:val="en-US" w:eastAsia="zh-CN" w:bidi="ar"/>
              </w:rPr>
              <w:t>号</w:t>
            </w:r>
          </w:p>
        </w:tc>
        <w:tc>
          <w:tcPr>
            <w:tcW w:w="107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7</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（广西壮族自治区司法厅）关于调整全区公证机构执业区域的通知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桂司通〔2018〕60号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8</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（广西壮族自治区司法厅）关于印发《广西壮族自治区司法行政政务服务容缺受理工作实施方案》的通知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桂司通〔2018〕132号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9</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自治区司法厅关于印发《广西壮族自治区法律援助案件质量评估试行办法》的通知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桂司通〔2018〕179号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10</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广西壮族自治区司法厅关于依法注销“四大类”外司法鉴定机构及其司法鉴定人有关工作的通知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桂司通〔2019〕155号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11</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自治区司法厅关于开展律师专业水平评定试点工作的通知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桂司通〔2020〕61号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12</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广西壮族自治区司法厅关于印发《广西壮族自治区全面推行证明事项告知承诺制工作实施方案》的通知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桂司通〔2020〕156号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13</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 广西壮族自治区财政厅印发《关于完善法律援助补贴标准的实施意见》的通知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桂司通〔2020〕161号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14</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right="26" w:rightChars="8"/>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自治区司法厅关于在全区司法行政系统开展证明事项告知承诺制工作的通知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桂司通〔2020〕163号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15</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 广西壮族自治区发展改革委等八部门关于印发《中国（广西）自由贸易试验区市场主体轻微违法免罚清单（2021年版）》</w:t>
            </w:r>
            <w:r>
              <w:rPr>
                <w:rFonts w:hint="eastAsia" w:ascii="Times New Roman" w:hAnsi="Times New Roman" w:eastAsia="方正仿宋_GBK" w:cs="Times New Roman"/>
                <w:i w:val="0"/>
                <w:color w:val="000000"/>
                <w:kern w:val="0"/>
                <w:sz w:val="28"/>
                <w:szCs w:val="28"/>
                <w:u w:val="none"/>
                <w:lang w:val="en-US" w:eastAsia="zh-CN" w:bidi="ar"/>
              </w:rPr>
              <w:t>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桂司通〔2021〕90号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16</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自治区司法厅关于印发《广西司法鉴定教育培训工作细则（试行）》的通知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桂司通〔2021〕100号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17</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自治区司法厅关于印发《广西壮族自治区司法行政机关律师事务所和律师执业活动投诉处理办法（试行）》的通知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桂司通〔2021〕113号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18</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 广西壮族自治区工业和信息化厅等十五部门关于印发《广西壮族自治区市场主体多领域轻微违法行为免罚清单和可以不采取行政强制措施清单（2021年版）》</w:t>
            </w:r>
            <w:r>
              <w:rPr>
                <w:rFonts w:hint="eastAsia" w:ascii="Times New Roman" w:hAnsi="Times New Roman" w:eastAsia="方正仿宋_GBK" w:cs="Times New Roman"/>
                <w:i w:val="0"/>
                <w:color w:val="000000"/>
                <w:kern w:val="0"/>
                <w:sz w:val="28"/>
                <w:szCs w:val="28"/>
                <w:u w:val="none"/>
                <w:lang w:val="en-US" w:eastAsia="zh-CN" w:bidi="ar"/>
              </w:rPr>
              <w:t>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桂司通〔2021〕124号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19</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自治区司法厅关于印发《律师与法官检察官接触交往正负面清单》的通知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桂司通〔2021〕133号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20</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自治区司法厅关于印发《中央专项彩票公益金法律援助项目广西实施与管理工作细则（修订）》的通知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桂司通〔2022〕30号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21</w:t>
            </w:r>
          </w:p>
        </w:tc>
        <w:tc>
          <w:tcPr>
            <w:tcW w:w="4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广西壮族自治区司法厅关于印发《广西壮族自治区公证执业区域调整方案》的通知</w:t>
            </w:r>
          </w:p>
        </w:tc>
        <w:tc>
          <w:tcPr>
            <w:tcW w:w="2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桂司通〔2022〕105号</w:t>
            </w:r>
          </w:p>
        </w:tc>
        <w:tc>
          <w:tcPr>
            <w:tcW w:w="1073"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sz w:val="32"/>
                <w:szCs w:val="32"/>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大标宋_GBK">
    <w:altName w:val="宋体"/>
    <w:panose1 w:val="02000000000000000000"/>
    <w:charset w:val="86"/>
    <w:family w:val="auto"/>
    <w:pitch w:val="default"/>
    <w:sig w:usb0="00000000" w:usb1="00000000" w:usb2="00000000"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ZTllMmFmMGIxM2RhM2FiNTllMDJmMTVmNGY2ZmEifQ=="/>
  </w:docVars>
  <w:rsids>
    <w:rsidRoot w:val="3EE77213"/>
    <w:rsid w:val="3EE7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szCs w:val="21"/>
    </w:rPr>
  </w:style>
  <w:style w:type="paragraph" w:styleId="3">
    <w:name w:val="footer"/>
    <w:basedOn w:val="1"/>
    <w:unhideWhenUsed/>
    <w:qFormat/>
    <w:uiPriority w:val="99"/>
    <w:pPr>
      <w:tabs>
        <w:tab w:val="center" w:pos="4153"/>
        <w:tab w:val="right" w:pos="8306"/>
      </w:tabs>
      <w:snapToGrid w:val="0"/>
      <w:jc w:val="left"/>
    </w:pPr>
    <w:rPr>
      <w:rFonts w:eastAsia="宋体"/>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2023-09-12T08:19:00Z</dcterms:created>
  <dc:creator>林子苏</dc:creator>
  <cp:lastModifiedBy>林子苏</cp:lastModifiedBy>
  <dcterms:modified xsi:type="dcterms:W3CDTF">2023-09-12T08:19:48Z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22265AD4A2AE4C13A8B796B202B41D67_11</vt:lpwstr>
  </property>
</Properties>
</file>